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525145</wp:posOffset>
            </wp:positionH>
            <wp:positionV relativeFrom="page">
              <wp:posOffset>431800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page">
              <wp:posOffset>525145</wp:posOffset>
            </wp:positionH>
            <wp:positionV relativeFrom="page">
              <wp:posOffset>500380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t>UNITED STATES SECURITIES AND EXCHANGE COMMISSION</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4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117" w:lineRule="exact"/>
        <w:rPr>
          <w:sz w:val="24"/>
          <w:szCs w:val="24"/>
          <w:color w:val="auto"/>
        </w:rPr>
      </w:pPr>
    </w:p>
    <w:p>
      <w:pPr>
        <w:ind w:left="480" w:right="120" w:hanging="337"/>
        <w:spacing w:after="0" w:line="262" w:lineRule="auto"/>
        <w:tabs>
          <w:tab w:leader="none" w:pos="4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91"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48" w:lineRule="exact"/>
        <w:rPr>
          <w:sz w:val="24"/>
          <w:szCs w:val="24"/>
          <w:color w:val="auto"/>
        </w:rPr>
      </w:pPr>
    </w:p>
    <w:p>
      <w:pPr>
        <w:ind w:left="480" w:right="100" w:hanging="337"/>
        <w:spacing w:after="0" w:line="262" w:lineRule="auto"/>
        <w:tabs>
          <w:tab w:leader="none" w:pos="4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91" w:lineRule="exact"/>
        <w:rPr>
          <w:sz w:val="24"/>
          <w:szCs w:val="24"/>
          <w:color w:val="auto"/>
        </w:rPr>
      </w:pPr>
    </w:p>
    <w:p>
      <w:pPr>
        <w:ind w:left="480"/>
        <w:spacing w:after="0"/>
        <w:tabs>
          <w:tab w:leader="none" w:pos="34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1-12154</w:t>
      </w: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Waste Management,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680" w:type="dxa"/>
            <w:vAlign w:val="bottom"/>
            <w:gridSpan w:val="3"/>
          </w:tcPr>
          <w:p>
            <w:pPr>
              <w:jc w:val="center"/>
              <w:ind w:left="1356"/>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0" w:type="dxa"/>
            <w:vAlign w:val="bottom"/>
          </w:tcPr>
          <w:p>
            <w:pPr>
              <w:jc w:val="center"/>
              <w:ind w:right="1777"/>
              <w:spacing w:after="0"/>
              <w:rPr>
                <w:sz w:val="20"/>
                <w:szCs w:val="20"/>
                <w:color w:val="auto"/>
              </w:rPr>
            </w:pPr>
            <w:r>
              <w:rPr>
                <w:rFonts w:ascii="Times New Roman" w:cs="Times New Roman" w:eastAsia="Times New Roman" w:hAnsi="Times New Roman"/>
                <w:sz w:val="18"/>
                <w:szCs w:val="18"/>
                <w:b w:val="1"/>
                <w:bCs w:val="1"/>
                <w:color w:val="auto"/>
                <w:w w:val="98"/>
              </w:rPr>
              <w:t>73-1309529</w:t>
            </w:r>
          </w:p>
        </w:tc>
      </w:tr>
      <w:tr>
        <w:trPr>
          <w:trHeight w:val="203"/>
        </w:trPr>
        <w:tc>
          <w:tcPr>
            <w:tcW w:w="20" w:type="dxa"/>
            <w:vAlign w:val="bottom"/>
          </w:tcPr>
          <w:p>
            <w:pPr>
              <w:spacing w:after="0"/>
              <w:rPr>
                <w:sz w:val="17"/>
                <w:szCs w:val="17"/>
                <w:color w:val="auto"/>
              </w:rPr>
            </w:pPr>
          </w:p>
        </w:tc>
        <w:tc>
          <w:tcPr>
            <w:tcW w:w="3680" w:type="dxa"/>
            <w:vAlign w:val="bottom"/>
            <w:gridSpan w:val="3"/>
          </w:tcPr>
          <w:p>
            <w:pPr>
              <w:jc w:val="center"/>
              <w:ind w:left="1356"/>
              <w:spacing w:after="0" w:line="202" w:lineRule="exact"/>
              <w:rPr>
                <w:sz w:val="20"/>
                <w:szCs w:val="20"/>
                <w:color w:val="auto"/>
              </w:rPr>
            </w:pPr>
            <w:r>
              <w:rPr>
                <w:rFonts w:ascii="Times New Roman" w:cs="Times New Roman" w:eastAsia="Times New Roman" w:hAnsi="Times New Roman"/>
                <w:sz w:val="18"/>
                <w:szCs w:val="18"/>
                <w:i w:val="1"/>
                <w:iCs w:val="1"/>
                <w:color w:val="auto"/>
              </w:rPr>
              <w:t>(State or other jurisdiction of</w:t>
            </w:r>
          </w:p>
        </w:tc>
        <w:tc>
          <w:tcPr>
            <w:tcW w:w="2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0" w:type="dxa"/>
            <w:vAlign w:val="bottom"/>
          </w:tcPr>
          <w:p>
            <w:pPr>
              <w:jc w:val="center"/>
              <w:ind w:right="1797"/>
              <w:spacing w:after="0" w:line="202" w:lineRule="exact"/>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20" w:type="dxa"/>
            <w:vAlign w:val="bottom"/>
          </w:tcPr>
          <w:p>
            <w:pPr>
              <w:spacing w:after="0"/>
              <w:rPr>
                <w:sz w:val="20"/>
                <w:szCs w:val="20"/>
                <w:color w:val="auto"/>
              </w:rPr>
            </w:pPr>
          </w:p>
        </w:tc>
        <w:tc>
          <w:tcPr>
            <w:tcW w:w="3680" w:type="dxa"/>
            <w:vAlign w:val="bottom"/>
            <w:gridSpan w:val="3"/>
          </w:tcPr>
          <w:p>
            <w:pPr>
              <w:jc w:val="center"/>
              <w:ind w:left="1356"/>
              <w:spacing w:after="0"/>
              <w:rPr>
                <w:sz w:val="20"/>
                <w:szCs w:val="20"/>
                <w:color w:val="auto"/>
              </w:rPr>
            </w:pPr>
            <w:r>
              <w:rPr>
                <w:rFonts w:ascii="Times New Roman" w:cs="Times New Roman" w:eastAsia="Times New Roman" w:hAnsi="Times New Roman"/>
                <w:sz w:val="18"/>
                <w:szCs w:val="18"/>
                <w:i w:val="1"/>
                <w:iCs w:val="1"/>
                <w:color w:val="auto"/>
              </w:rPr>
              <w:t>incorporation or organization)</w:t>
            </w:r>
          </w:p>
        </w:tc>
        <w:tc>
          <w:tcPr>
            <w:tcW w:w="2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0" w:type="dxa"/>
            <w:vAlign w:val="bottom"/>
          </w:tcPr>
          <w:p>
            <w:pPr>
              <w:jc w:val="center"/>
              <w:ind w:right="1777"/>
              <w:spacing w:after="0"/>
              <w:rPr>
                <w:sz w:val="20"/>
                <w:szCs w:val="20"/>
                <w:color w:val="auto"/>
              </w:rPr>
            </w:pPr>
            <w:r>
              <w:rPr>
                <w:rFonts w:ascii="Times New Roman" w:cs="Times New Roman" w:eastAsia="Times New Roman" w:hAnsi="Times New Roman"/>
                <w:sz w:val="18"/>
                <w:szCs w:val="18"/>
                <w:i w:val="1"/>
                <w:iCs w:val="1"/>
                <w:color w:val="auto"/>
              </w:rPr>
              <w:t>Identification No.)</w:t>
            </w:r>
          </w:p>
        </w:tc>
      </w:tr>
      <w:tr>
        <w:trPr>
          <w:trHeight w:val="315"/>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2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800 Capitol Street</w:t>
            </w:r>
          </w:p>
        </w:tc>
        <w:tc>
          <w:tcPr>
            <w:tcW w:w="32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2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Suite 3000</w:t>
            </w:r>
          </w:p>
        </w:tc>
        <w:tc>
          <w:tcPr>
            <w:tcW w:w="3200" w:type="dxa"/>
            <w:vAlign w:val="bottom"/>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2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Houston, Texas 77002</w:t>
            </w:r>
          </w:p>
        </w:tc>
        <w:tc>
          <w:tcPr>
            <w:tcW w:w="3200" w:type="dxa"/>
            <w:vAlign w:val="bottom"/>
          </w:tcPr>
          <w:p>
            <w:pPr>
              <w:spacing w:after="0"/>
              <w:rPr>
                <w:sz w:val="18"/>
                <w:szCs w:val="18"/>
                <w:color w:val="auto"/>
              </w:rPr>
            </w:pPr>
          </w:p>
        </w:tc>
      </w:tr>
      <w:tr>
        <w:trPr>
          <w:trHeight w:val="236"/>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3200" w:type="dxa"/>
            <w:vAlign w:val="bottom"/>
          </w:tcPr>
          <w:p>
            <w:pPr>
              <w:spacing w:after="0"/>
              <w:rPr>
                <w:sz w:val="20"/>
                <w:szCs w:val="20"/>
                <w:color w:val="auto"/>
              </w:rPr>
            </w:pPr>
          </w:p>
        </w:tc>
      </w:tr>
      <w:tr>
        <w:trPr>
          <w:trHeight w:val="317"/>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tcPr>
          <w:p>
            <w:pPr>
              <w:jc w:val="center"/>
              <w:ind w:right="55"/>
              <w:spacing w:after="0"/>
              <w:rPr>
                <w:sz w:val="20"/>
                <w:szCs w:val="20"/>
                <w:color w:val="auto"/>
              </w:rPr>
            </w:pPr>
            <w:r>
              <w:rPr>
                <w:rFonts w:ascii="Times New Roman" w:cs="Times New Roman" w:eastAsia="Times New Roman" w:hAnsi="Times New Roman"/>
                <w:sz w:val="18"/>
                <w:szCs w:val="18"/>
                <w:b w:val="1"/>
                <w:bCs w:val="1"/>
                <w:color w:val="auto"/>
                <w:w w:val="99"/>
              </w:rPr>
              <w:t>(713) 512-6200</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36"/>
        </w:trPr>
        <w:tc>
          <w:tcPr>
            <w:tcW w:w="20" w:type="dxa"/>
            <w:vAlign w:val="bottom"/>
          </w:tcPr>
          <w:p>
            <w:pPr>
              <w:spacing w:after="0"/>
              <w:rPr>
                <w:sz w:val="20"/>
                <w:szCs w:val="20"/>
                <w:color w:val="auto"/>
              </w:rPr>
            </w:pPr>
          </w:p>
        </w:tc>
        <w:tc>
          <w:tcPr>
            <w:tcW w:w="7000" w:type="dxa"/>
            <w:vAlign w:val="bottom"/>
            <w:gridSpan w:val="6"/>
          </w:tcPr>
          <w:p>
            <w:pPr>
              <w:jc w:val="center"/>
              <w:ind w:left="3096"/>
              <w:spacing w:after="0"/>
              <w:rPr>
                <w:sz w:val="20"/>
                <w:szCs w:val="20"/>
                <w:color w:val="auto"/>
              </w:rPr>
            </w:pPr>
            <w:r>
              <w:rPr>
                <w:rFonts w:ascii="Times New Roman" w:cs="Times New Roman" w:eastAsia="Times New Roman" w:hAnsi="Times New Roman"/>
                <w:sz w:val="18"/>
                <w:szCs w:val="18"/>
                <w:i w:val="1"/>
                <w:iCs w:val="1"/>
                <w:color w:val="auto"/>
                <w:w w:val="98"/>
              </w:rPr>
              <w:t>(Registrant’s telephone number, including area code)</w:t>
            </w:r>
          </w:p>
        </w:tc>
        <w:tc>
          <w:tcPr>
            <w:tcW w:w="3200" w:type="dxa"/>
            <w:vAlign w:val="bottom"/>
          </w:tcPr>
          <w:p>
            <w:pPr>
              <w:spacing w:after="0"/>
              <w:rPr>
                <w:sz w:val="20"/>
                <w:szCs w:val="20"/>
                <w:color w:val="auto"/>
              </w:rPr>
            </w:pPr>
          </w:p>
        </w:tc>
      </w:tr>
      <w:tr>
        <w:trPr>
          <w:trHeight w:val="338"/>
        </w:trPr>
        <w:tc>
          <w:tcPr>
            <w:tcW w:w="70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20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368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32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20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2"/>
        </w:trPr>
        <w:tc>
          <w:tcPr>
            <w:tcW w:w="20" w:type="dxa"/>
            <w:vAlign w:val="bottom"/>
          </w:tcPr>
          <w:p>
            <w:pPr>
              <w:spacing w:after="0"/>
              <w:rPr>
                <w:sz w:val="15"/>
                <w:szCs w:val="15"/>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$0.01 par value</w:t>
            </w: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940" w:type="dxa"/>
            <w:vAlign w:val="bottom"/>
            <w:tcBorders>
              <w:top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color w:val="auto"/>
              </w:rPr>
              <w:t>WM</w:t>
            </w: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3200" w:type="dxa"/>
            <w:vAlign w:val="bottom"/>
            <w:tcBorders>
              <w:top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63"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20"/>
          </w:cols>
          <w:pgMar w:left="840" w:top="894" w:right="839" w:bottom="1440" w:gutter="0" w:footer="0" w:header="0"/>
        </w:sectPr>
      </w:pPr>
    </w:p>
    <w:p>
      <w:pPr>
        <w:spacing w:after="0" w:line="54"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ind w:left="760"/>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8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22" w:lineRule="exact"/>
        <w:rPr>
          <w:sz w:val="24"/>
          <w:szCs w:val="24"/>
          <w:color w:val="auto"/>
        </w:rPr>
      </w:pPr>
    </w:p>
    <w:p>
      <w:pPr>
        <w:sectPr>
          <w:pgSz w:w="11900" w:h="16838" w:orient="portrait"/>
          <w:cols w:equalWidth="0" w:num="2">
            <w:col w:w="7320" w:space="720"/>
            <w:col w:w="2180"/>
          </w:cols>
          <w:pgMar w:left="840" w:top="894" w:right="839" w:bottom="1440" w:gutter="0" w:footer="0" w:header="0"/>
          <w:type w:val="continuous"/>
        </w:sect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5" w:lineRule="exact"/>
        <w:rPr>
          <w:sz w:val="24"/>
          <w:szCs w:val="24"/>
          <w:color w:val="auto"/>
        </w:rPr>
      </w:pPr>
    </w:p>
    <w:p>
      <w:pPr>
        <w:spacing w:after="0" w:line="207" w:lineRule="exact"/>
        <w:tabs>
          <w:tab w:leader="none" w:pos="75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$0.01 par value, of the registrant outstanding at July 22, 2024 was 401,314,827 (excluding treasury shares of 228,967,634).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388620</wp:posOffset>
            </wp:positionV>
            <wp:extent cx="649795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-22225</wp:posOffset>
            </wp:positionV>
            <wp:extent cx="6497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894" w:right="8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7" w:lineRule="exact"/>
        <w:rPr>
          <w:sz w:val="20"/>
          <w:szCs w:val="20"/>
          <w:color w:val="auto"/>
        </w:rPr>
      </w:pPr>
    </w:p>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 and Par Value Amounts)</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6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42"/>
        </w:trPr>
        <w:tc>
          <w:tcPr>
            <w:tcW w:w="6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ind w:left="306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w:t>
            </w:r>
          </w:p>
        </w:tc>
        <w:tc>
          <w:tcPr>
            <w:tcW w:w="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w:t>
            </w:r>
          </w:p>
        </w:tc>
        <w:tc>
          <w:tcPr>
            <w:tcW w:w="0" w:type="dxa"/>
            <w:vAlign w:val="bottom"/>
          </w:tcPr>
          <w:p>
            <w:pPr>
              <w:spacing w:after="0"/>
              <w:rPr>
                <w:sz w:val="1"/>
                <w:szCs w:val="1"/>
                <w:color w:val="auto"/>
              </w:rPr>
            </w:pPr>
          </w:p>
        </w:tc>
      </w:tr>
      <w:tr>
        <w:trPr>
          <w:trHeight w:val="203"/>
        </w:trPr>
        <w:tc>
          <w:tcPr>
            <w:tcW w:w="67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Accounts receivable, net of allowance for doubtful accounts of $29 and $30, respectively</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2,728</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2,633</w:t>
            </w: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receivables, net of allowance for doubtful accounts of $4 and $4, respectively</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w:t>
            </w:r>
          </w:p>
        </w:tc>
        <w:tc>
          <w:tcPr>
            <w:tcW w:w="0" w:type="dxa"/>
            <w:vAlign w:val="bottom"/>
          </w:tcPr>
          <w:p>
            <w:pPr>
              <w:spacing w:after="0"/>
              <w:rPr>
                <w:sz w:val="1"/>
                <w:szCs w:val="1"/>
                <w:color w:val="auto"/>
              </w:rPr>
            </w:pPr>
          </w:p>
        </w:tc>
      </w:tr>
      <w:tr>
        <w:trPr>
          <w:trHeight w:val="203"/>
        </w:trPr>
        <w:tc>
          <w:tcPr>
            <w:tcW w:w="67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Parts and supplies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current assets</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1,104</w:t>
            </w:r>
          </w:p>
        </w:tc>
        <w:tc>
          <w:tcPr>
            <w:tcW w:w="1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w:t>
            </w:r>
          </w:p>
        </w:tc>
        <w:tc>
          <w:tcPr>
            <w:tcW w:w="0" w:type="dxa"/>
            <w:vAlign w:val="bottom"/>
          </w:tcPr>
          <w:p>
            <w:pPr>
              <w:spacing w:after="0"/>
              <w:rPr>
                <w:sz w:val="1"/>
                <w:szCs w:val="1"/>
                <w:color w:val="auto"/>
              </w:rPr>
            </w:pPr>
          </w:p>
        </w:tc>
      </w:tr>
      <w:tr>
        <w:trPr>
          <w:trHeight w:val="196"/>
        </w:trPr>
        <w:tc>
          <w:tcPr>
            <w:tcW w:w="6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current assets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4,439</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3,804</w:t>
            </w:r>
          </w:p>
        </w:tc>
        <w:tc>
          <w:tcPr>
            <w:tcW w:w="0" w:type="dxa"/>
            <w:vAlign w:val="bottom"/>
          </w:tcPr>
          <w:p>
            <w:pPr>
              <w:spacing w:after="0"/>
              <w:rPr>
                <w:sz w:val="1"/>
                <w:szCs w:val="1"/>
                <w:color w:val="auto"/>
              </w:rPr>
            </w:pPr>
          </w:p>
        </w:tc>
      </w:tr>
      <w:tr>
        <w:trPr>
          <w:trHeight w:val="181"/>
        </w:trPr>
        <w:tc>
          <w:tcPr>
            <w:tcW w:w="678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Property and equipment, net of accumulated depreciation and depletion of $23,310 and $22,826,</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respectively</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17,420</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16,968</w:t>
            </w:r>
          </w:p>
        </w:tc>
        <w:tc>
          <w:tcPr>
            <w:tcW w:w="0" w:type="dxa"/>
            <w:vAlign w:val="bottom"/>
          </w:tcPr>
          <w:p>
            <w:pPr>
              <w:spacing w:after="0"/>
              <w:rPr>
                <w:sz w:val="1"/>
                <w:szCs w:val="1"/>
                <w:color w:val="auto"/>
              </w:rPr>
            </w:pPr>
          </w:p>
        </w:tc>
      </w:tr>
      <w:tr>
        <w:trPr>
          <w:trHeight w:val="203"/>
        </w:trPr>
        <w:tc>
          <w:tcPr>
            <w:tcW w:w="6780" w:type="dxa"/>
            <w:vAlign w:val="bottom"/>
          </w:tcPr>
          <w:p>
            <w:pPr>
              <w:spacing w:after="0"/>
              <w:rPr>
                <w:sz w:val="20"/>
                <w:szCs w:val="20"/>
                <w:color w:val="auto"/>
              </w:rPr>
            </w:pPr>
            <w:r>
              <w:rPr>
                <w:rFonts w:ascii="Times New Roman" w:cs="Times New Roman" w:eastAsia="Times New Roman" w:hAnsi="Times New Roman"/>
                <w:sz w:val="17"/>
                <w:szCs w:val="17"/>
                <w:color w:val="auto"/>
              </w:rPr>
              <w:t>Goodwill</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9,363</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9,254</w:t>
            </w: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intangible assets, net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759</w:t>
            </w:r>
          </w:p>
        </w:tc>
        <w:tc>
          <w:tcPr>
            <w:tcW w:w="0" w:type="dxa"/>
            <w:vAlign w:val="bottom"/>
          </w:tcPr>
          <w:p>
            <w:pPr>
              <w:spacing w:after="0"/>
              <w:rPr>
                <w:sz w:val="1"/>
                <w:szCs w:val="1"/>
                <w:color w:val="auto"/>
              </w:rPr>
            </w:pPr>
          </w:p>
        </w:tc>
      </w:tr>
      <w:tr>
        <w:trPr>
          <w:trHeight w:val="203"/>
        </w:trPr>
        <w:tc>
          <w:tcPr>
            <w:tcW w:w="6780" w:type="dxa"/>
            <w:vAlign w:val="bottom"/>
          </w:tcPr>
          <w:p>
            <w:pPr>
              <w:spacing w:after="0"/>
              <w:rPr>
                <w:sz w:val="20"/>
                <w:szCs w:val="20"/>
                <w:color w:val="auto"/>
              </w:rPr>
            </w:pPr>
            <w:r>
              <w:rPr>
                <w:rFonts w:ascii="Times New Roman" w:cs="Times New Roman" w:eastAsia="Times New Roman" w:hAnsi="Times New Roman"/>
                <w:sz w:val="17"/>
                <w:szCs w:val="17"/>
                <w:color w:val="auto"/>
              </w:rPr>
              <w:t>Restricted funds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465</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422</w:t>
            </w: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Investments in unconsolidated entities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552</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606</w:t>
            </w:r>
          </w:p>
        </w:tc>
        <w:tc>
          <w:tcPr>
            <w:tcW w:w="0" w:type="dxa"/>
            <w:vAlign w:val="bottom"/>
          </w:tcPr>
          <w:p>
            <w:pPr>
              <w:spacing w:after="0"/>
              <w:rPr>
                <w:sz w:val="1"/>
                <w:szCs w:val="1"/>
                <w:color w:val="auto"/>
              </w:rPr>
            </w:pPr>
          </w:p>
        </w:tc>
      </w:tr>
      <w:tr>
        <w:trPr>
          <w:trHeight w:val="203"/>
        </w:trPr>
        <w:tc>
          <w:tcPr>
            <w:tcW w:w="6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Other long-term assets</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1,007</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1,010</w:t>
            </w:r>
          </w:p>
        </w:tc>
        <w:tc>
          <w:tcPr>
            <w:tcW w:w="0" w:type="dxa"/>
            <w:vAlign w:val="bottom"/>
          </w:tcPr>
          <w:p>
            <w:pPr>
              <w:spacing w:after="0"/>
              <w:rPr>
                <w:sz w:val="1"/>
                <w:szCs w:val="1"/>
                <w:color w:val="auto"/>
              </w:rPr>
            </w:pPr>
          </w:p>
        </w:tc>
      </w:tr>
      <w:tr>
        <w:trPr>
          <w:trHeight w:val="196"/>
        </w:trPr>
        <w:tc>
          <w:tcPr>
            <w:tcW w:w="67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assets</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33,999</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32,823</w:t>
            </w:r>
          </w:p>
        </w:tc>
        <w:tc>
          <w:tcPr>
            <w:tcW w:w="0" w:type="dxa"/>
            <w:vAlign w:val="bottom"/>
          </w:tcPr>
          <w:p>
            <w:pPr>
              <w:spacing w:after="0"/>
              <w:rPr>
                <w:sz w:val="1"/>
                <w:szCs w:val="1"/>
                <w:color w:val="auto"/>
              </w:rPr>
            </w:pPr>
          </w:p>
        </w:tc>
      </w:tr>
      <w:tr>
        <w:trPr>
          <w:trHeight w:val="20"/>
        </w:trPr>
        <w:tc>
          <w:tcPr>
            <w:tcW w:w="6780" w:type="dxa"/>
            <w:vAlign w:val="bottom"/>
            <w:vMerge w:val="restart"/>
          </w:tcPr>
          <w:p>
            <w:pPr>
              <w:ind w:left="2300"/>
              <w:spacing w:after="0"/>
              <w:rPr>
                <w:sz w:val="20"/>
                <w:szCs w:val="20"/>
                <w:color w:val="auto"/>
              </w:rPr>
            </w:pPr>
            <w:r>
              <w:rPr>
                <w:rFonts w:ascii="Times New Roman" w:cs="Times New Roman" w:eastAsia="Times New Roman" w:hAnsi="Times New Roman"/>
                <w:sz w:val="17"/>
                <w:szCs w:val="17"/>
                <w:b w:val="1"/>
                <w:bCs w:val="1"/>
                <w:color w:val="auto"/>
              </w:rPr>
              <w:t>LIABILITIES AND EQUITY</w:t>
            </w: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7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Accounts payable</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1,785</w:t>
            </w: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1,709</w:t>
            </w: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Accrued liabilities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1,525</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1,605</w:t>
            </w:r>
          </w:p>
        </w:tc>
        <w:tc>
          <w:tcPr>
            <w:tcW w:w="0" w:type="dxa"/>
            <w:vAlign w:val="bottom"/>
          </w:tcPr>
          <w:p>
            <w:pPr>
              <w:spacing w:after="0"/>
              <w:rPr>
                <w:sz w:val="1"/>
                <w:szCs w:val="1"/>
                <w:color w:val="auto"/>
              </w:rPr>
            </w:pPr>
          </w:p>
        </w:tc>
      </w:tr>
      <w:tr>
        <w:trPr>
          <w:trHeight w:val="203"/>
        </w:trPr>
        <w:tc>
          <w:tcPr>
            <w:tcW w:w="67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Deferred revenues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584</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578</w:t>
            </w: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Current portion of long-term debt</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1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w:t>
            </w:r>
          </w:p>
        </w:tc>
        <w:tc>
          <w:tcPr>
            <w:tcW w:w="0" w:type="dxa"/>
            <w:vAlign w:val="bottom"/>
          </w:tcPr>
          <w:p>
            <w:pPr>
              <w:spacing w:after="0"/>
              <w:rPr>
                <w:sz w:val="1"/>
                <w:szCs w:val="1"/>
                <w:color w:val="auto"/>
              </w:rPr>
            </w:pPr>
          </w:p>
        </w:tc>
      </w:tr>
      <w:tr>
        <w:trPr>
          <w:trHeight w:val="196"/>
        </w:trPr>
        <w:tc>
          <w:tcPr>
            <w:tcW w:w="6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4,136</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4,226</w:t>
            </w: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debt, less current portion</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16,501</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15,895</w:t>
            </w:r>
          </w:p>
        </w:tc>
        <w:tc>
          <w:tcPr>
            <w:tcW w:w="0" w:type="dxa"/>
            <w:vAlign w:val="bottom"/>
          </w:tcPr>
          <w:p>
            <w:pPr>
              <w:spacing w:after="0"/>
              <w:rPr>
                <w:sz w:val="1"/>
                <w:szCs w:val="1"/>
                <w:color w:val="auto"/>
              </w:rPr>
            </w:pPr>
          </w:p>
        </w:tc>
      </w:tr>
      <w:tr>
        <w:trPr>
          <w:trHeight w:val="203"/>
        </w:trPr>
        <w:tc>
          <w:tcPr>
            <w:tcW w:w="6780" w:type="dxa"/>
            <w:vAlign w:val="bottom"/>
          </w:tcPr>
          <w:p>
            <w:pPr>
              <w:spacing w:after="0"/>
              <w:rPr>
                <w:sz w:val="20"/>
                <w:szCs w:val="20"/>
                <w:color w:val="auto"/>
              </w:rPr>
            </w:pPr>
            <w:r>
              <w:rPr>
                <w:rFonts w:ascii="Times New Roman" w:cs="Times New Roman" w:eastAsia="Times New Roman" w:hAnsi="Times New Roman"/>
                <w:sz w:val="17"/>
                <w:szCs w:val="17"/>
                <w:color w:val="auto"/>
              </w:rPr>
              <w:t>Deferred income taxes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1,826</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1,826</w:t>
            </w: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Landfill and environmental remediation liabilities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2,936</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2,888</w:t>
            </w:r>
          </w:p>
        </w:tc>
        <w:tc>
          <w:tcPr>
            <w:tcW w:w="0" w:type="dxa"/>
            <w:vAlign w:val="bottom"/>
          </w:tcPr>
          <w:p>
            <w:pPr>
              <w:spacing w:after="0"/>
              <w:rPr>
                <w:sz w:val="1"/>
                <w:szCs w:val="1"/>
                <w:color w:val="auto"/>
              </w:rPr>
            </w:pPr>
          </w:p>
        </w:tc>
      </w:tr>
      <w:tr>
        <w:trPr>
          <w:trHeight w:val="203"/>
        </w:trPr>
        <w:tc>
          <w:tcPr>
            <w:tcW w:w="6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1,149</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1,092</w:t>
            </w:r>
          </w:p>
        </w:tc>
        <w:tc>
          <w:tcPr>
            <w:tcW w:w="0" w:type="dxa"/>
            <w:vAlign w:val="bottom"/>
          </w:tcPr>
          <w:p>
            <w:pPr>
              <w:spacing w:after="0"/>
              <w:rPr>
                <w:sz w:val="1"/>
                <w:szCs w:val="1"/>
                <w:color w:val="auto"/>
              </w:rPr>
            </w:pPr>
          </w:p>
        </w:tc>
      </w:tr>
      <w:tr>
        <w:trPr>
          <w:trHeight w:val="196"/>
        </w:trPr>
        <w:tc>
          <w:tcPr>
            <w:tcW w:w="6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liabilities</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26,548</w:t>
            </w:r>
          </w:p>
        </w:tc>
        <w:tc>
          <w:tcPr>
            <w:tcW w:w="1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25,927</w:t>
            </w:r>
          </w:p>
        </w:tc>
        <w:tc>
          <w:tcPr>
            <w:tcW w:w="0" w:type="dxa"/>
            <w:vAlign w:val="bottom"/>
          </w:tcPr>
          <w:p>
            <w:pPr>
              <w:spacing w:after="0"/>
              <w:rPr>
                <w:sz w:val="1"/>
                <w:szCs w:val="1"/>
                <w:color w:val="auto"/>
              </w:rPr>
            </w:pPr>
          </w:p>
        </w:tc>
      </w:tr>
      <w:tr>
        <w:trPr>
          <w:trHeight w:val="196"/>
        </w:trPr>
        <w:tc>
          <w:tcPr>
            <w:tcW w:w="6780" w:type="dxa"/>
            <w:vAlign w:val="bottom"/>
          </w:tcPr>
          <w:p>
            <w:pPr>
              <w:spacing w:after="0"/>
              <w:rPr>
                <w:sz w:val="20"/>
                <w:szCs w:val="20"/>
                <w:color w:val="auto"/>
              </w:rPr>
            </w:pPr>
            <w:r>
              <w:rPr>
                <w:rFonts w:ascii="Times New Roman" w:cs="Times New Roman" w:eastAsia="Times New Roman" w:hAnsi="Times New Roman"/>
                <w:sz w:val="17"/>
                <w:szCs w:val="17"/>
                <w:color w:val="auto"/>
              </w:rPr>
              <w:t>Commitments and contingencies (Note 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Equity:</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Waste Management, Inc. stockholders’ equity:</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Common stock, $0.01 par value; 1,500,000,000 shares authorized; 630,282,461 shares issued</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03"/>
        </w:trPr>
        <w:tc>
          <w:tcPr>
            <w:tcW w:w="6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5,433</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5,351</w:t>
            </w: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Retained earnings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15,104</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14,334</w:t>
            </w:r>
          </w:p>
        </w:tc>
        <w:tc>
          <w:tcPr>
            <w:tcW w:w="0" w:type="dxa"/>
            <w:vAlign w:val="bottom"/>
          </w:tcPr>
          <w:p>
            <w:pPr>
              <w:spacing w:after="0"/>
              <w:rPr>
                <w:sz w:val="1"/>
                <w:szCs w:val="1"/>
                <w:color w:val="auto"/>
              </w:rPr>
            </w:pPr>
          </w:p>
        </w:tc>
      </w:tr>
      <w:tr>
        <w:trPr>
          <w:trHeight w:val="203"/>
        </w:trPr>
        <w:tc>
          <w:tcPr>
            <w:tcW w:w="6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(loss) income</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202"/>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Treasury stock at cost, 229,183,391 and 228,827,218 shares, respectively</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(13,013)</w:t>
            </w:r>
          </w:p>
        </w:tc>
        <w:tc>
          <w:tcPr>
            <w:tcW w:w="1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(12,751)</w:t>
            </w:r>
          </w:p>
        </w:tc>
        <w:tc>
          <w:tcPr>
            <w:tcW w:w="0" w:type="dxa"/>
            <w:vAlign w:val="bottom"/>
          </w:tcPr>
          <w:p>
            <w:pPr>
              <w:spacing w:after="0"/>
              <w:rPr>
                <w:sz w:val="1"/>
                <w:szCs w:val="1"/>
                <w:color w:val="auto"/>
              </w:rPr>
            </w:pPr>
          </w:p>
        </w:tc>
      </w:tr>
      <w:tr>
        <w:trPr>
          <w:trHeight w:val="196"/>
        </w:trPr>
        <w:tc>
          <w:tcPr>
            <w:tcW w:w="67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Waste Management, Inc. stockholders’ equity</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7,457</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6,903</w:t>
            </w: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Noncontrolling interests</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196"/>
        </w:trPr>
        <w:tc>
          <w:tcPr>
            <w:tcW w:w="67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equity</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7,451</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6,896</w:t>
            </w:r>
          </w:p>
        </w:tc>
        <w:tc>
          <w:tcPr>
            <w:tcW w:w="0" w:type="dxa"/>
            <w:vAlign w:val="bottom"/>
          </w:tcPr>
          <w:p>
            <w:pPr>
              <w:spacing w:after="0"/>
              <w:rPr>
                <w:sz w:val="1"/>
                <w:szCs w:val="1"/>
                <w:color w:val="auto"/>
              </w:rPr>
            </w:pPr>
          </w:p>
        </w:tc>
      </w:tr>
      <w:tr>
        <w:trPr>
          <w:trHeight w:val="196"/>
        </w:trPr>
        <w:tc>
          <w:tcPr>
            <w:tcW w:w="67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Total liabilities and equity</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33,999</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32,823</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ind w:left="60" w:right="59"/>
        <w:spacing w:after="0" w:line="278" w:lineRule="auto"/>
        <w:rPr>
          <w:sz w:val="20"/>
          <w:szCs w:val="20"/>
          <w:color w:val="auto"/>
        </w:rPr>
      </w:pPr>
      <w:r>
        <w:rPr>
          <w:rFonts w:ascii="Times New Roman" w:cs="Times New Roman" w:eastAsia="Times New Roman" w:hAnsi="Times New Roman"/>
          <w:sz w:val="18"/>
          <w:szCs w:val="18"/>
          <w:b w:val="1"/>
          <w:bCs w:val="1"/>
          <w:color w:val="auto"/>
        </w:rPr>
        <w:t>CONDENSED CONSOLIDATED STATEMENTS OF OPERATIONS (In Millions, Except per Share Amounts) (Unaudited)</w:t>
      </w:r>
    </w:p>
    <w:p>
      <w:pPr>
        <w:spacing w:after="0" w:line="38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7"/>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7"/>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5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7"/>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54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5,402</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5,119</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10,561</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10,011</w:t>
            </w:r>
          </w:p>
        </w:tc>
        <w:tc>
          <w:tcPr>
            <w:tcW w:w="0" w:type="dxa"/>
            <w:vAlign w:val="bottom"/>
          </w:tcPr>
          <w:p>
            <w:pPr>
              <w:spacing w:after="0"/>
              <w:rPr>
                <w:sz w:val="1"/>
                <w:szCs w:val="1"/>
                <w:color w:val="auto"/>
              </w:rPr>
            </w:pPr>
          </w:p>
        </w:tc>
      </w:tr>
      <w:tr>
        <w:trPr>
          <w:trHeight w:val="20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6,272</w:t>
            </w:r>
          </w:p>
        </w:tc>
        <w:tc>
          <w:tcPr>
            <w:tcW w:w="0" w:type="dxa"/>
            <w:vAlign w:val="bottom"/>
          </w:tcPr>
          <w:p>
            <w:pPr>
              <w:spacing w:after="0"/>
              <w:rPr>
                <w:sz w:val="1"/>
                <w:szCs w:val="1"/>
                <w:color w:val="auto"/>
              </w:rPr>
            </w:pPr>
          </w:p>
        </w:tc>
      </w:tr>
      <w:tr>
        <w:trPr>
          <w:trHeight w:val="216"/>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0" w:type="dxa"/>
            <w:vAlign w:val="bottom"/>
          </w:tcPr>
          <w:p>
            <w:pPr>
              <w:spacing w:after="0"/>
              <w:rPr>
                <w:sz w:val="1"/>
                <w:szCs w:val="1"/>
                <w:color w:val="auto"/>
              </w:rPr>
            </w:pPr>
          </w:p>
        </w:tc>
      </w:tr>
      <w:tr>
        <w:trPr>
          <w:trHeight w:val="216"/>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Restructuring</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(Gain) loss from divestitures, asset impairments and unusual items, net</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54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4,393</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4,175</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8,536</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8,242</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0" w:type="dxa"/>
            <w:vAlign w:val="bottom"/>
          </w:tcPr>
          <w:p>
            <w:pPr>
              <w:spacing w:after="0"/>
              <w:rPr>
                <w:sz w:val="1"/>
                <w:szCs w:val="1"/>
                <w:color w:val="auto"/>
              </w:rPr>
            </w:pPr>
          </w:p>
        </w:tc>
      </w:tr>
      <w:tr>
        <w:trPr>
          <w:trHeight w:val="20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16"/>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Equity in net income (losses) of unconsolidated entities</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9"/>
        </w:trPr>
        <w:tc>
          <w:tcPr>
            <w:tcW w:w="54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0" w:type="dxa"/>
            <w:vAlign w:val="bottom"/>
          </w:tcPr>
          <w:p>
            <w:pPr>
              <w:spacing w:after="0"/>
              <w:rPr>
                <w:sz w:val="1"/>
                <w:szCs w:val="1"/>
                <w:color w:val="auto"/>
              </w:rPr>
            </w:pPr>
          </w:p>
        </w:tc>
      </w:tr>
      <w:tr>
        <w:trPr>
          <w:trHeight w:val="216"/>
        </w:trPr>
        <w:tc>
          <w:tcPr>
            <w:tcW w:w="5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0" w:type="dxa"/>
            <w:vAlign w:val="bottom"/>
          </w:tcPr>
          <w:p>
            <w:pPr>
              <w:spacing w:after="0"/>
              <w:rPr>
                <w:sz w:val="1"/>
                <w:szCs w:val="1"/>
                <w:color w:val="auto"/>
              </w:rPr>
            </w:pPr>
          </w:p>
        </w:tc>
      </w:tr>
      <w:tr>
        <w:trPr>
          <w:trHeight w:val="216"/>
        </w:trPr>
        <w:tc>
          <w:tcPr>
            <w:tcW w:w="54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2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5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Waste Management, Inc.</w:t>
            </w:r>
          </w:p>
        </w:tc>
        <w:tc>
          <w:tcPr>
            <w:tcW w:w="2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40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CCEEFF"/>
            </w:tcBorders>
            <w:vMerge w:val="continue"/>
          </w:tcPr>
          <w:p>
            <w:pPr>
              <w:spacing w:after="0"/>
              <w:rPr>
                <w:sz w:val="20"/>
                <w:szCs w:val="20"/>
                <w:color w:val="auto"/>
              </w:rPr>
            </w:pPr>
          </w:p>
        </w:tc>
        <w:tc>
          <w:tcPr>
            <w:tcW w:w="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1.70</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4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1.52</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3.46</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197"/>
        </w:trPr>
        <w:tc>
          <w:tcPr>
            <w:tcW w:w="54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Diluted earnings per common share</w:t>
            </w:r>
          </w:p>
        </w:tc>
        <w:tc>
          <w:tcPr>
            <w:tcW w:w="2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1.69</w:t>
            </w: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1.51</w:t>
            </w: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3.44</w:t>
            </w: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0"/>
        </w:trPr>
        <w:tc>
          <w:tcPr>
            <w:tcW w:w="5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0"/>
        </w:trPr>
        <w:tc>
          <w:tcPr>
            <w:tcW w:w="8040" w:type="dxa"/>
            <w:vAlign w:val="bottom"/>
            <w:gridSpan w:val="16"/>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COMPREHENSIVE INCOME</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00" w:type="dxa"/>
            <w:vAlign w:val="bottom"/>
          </w:tcPr>
          <w:p>
            <w:pPr>
              <w:jc w:val="center"/>
              <w:ind w:left="339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400" w:type="dxa"/>
            <w:vAlign w:val="bottom"/>
          </w:tcPr>
          <w:p>
            <w:pPr>
              <w:jc w:val="center"/>
              <w:ind w:left="33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5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gridSpan w:val="8"/>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7"/>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5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0" w:type="dxa"/>
            <w:vAlign w:val="bottom"/>
          </w:tcPr>
          <w:p>
            <w:pPr>
              <w:spacing w:after="0"/>
              <w:rPr>
                <w:sz w:val="1"/>
                <w:szCs w:val="1"/>
                <w:color w:val="auto"/>
              </w:rPr>
            </w:pPr>
          </w:p>
        </w:tc>
      </w:t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Derivative instruments, net</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Available-for-sale securities, net</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54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Post-retirement benefit obligations, net</w:t>
            </w:r>
          </w:p>
        </w:tc>
        <w:tc>
          <w:tcPr>
            <w:tcW w:w="2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0" w:type="dxa"/>
            <w:vAlign w:val="bottom"/>
          </w:tcPr>
          <w:p>
            <w:pPr>
              <w:spacing w:after="0"/>
              <w:rPr>
                <w:sz w:val="1"/>
                <w:szCs w:val="1"/>
                <w:color w:val="auto"/>
              </w:rPr>
            </w:pPr>
          </w:p>
        </w:tc>
      </w:tr>
      <w:tr>
        <w:trPr>
          <w:trHeight w:val="198"/>
        </w:trPr>
        <w:tc>
          <w:tcPr>
            <w:tcW w:w="540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Less: Comprehensive income (loss) attributable to noncontrolling</w:t>
            </w: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interests</w:t>
            </w:r>
          </w:p>
        </w:tc>
        <w:tc>
          <w:tcPr>
            <w:tcW w:w="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attributable to Waste Management, Inc.</w:t>
            </w:r>
          </w:p>
        </w:tc>
        <w:tc>
          <w:tcPr>
            <w:tcW w:w="220" w:type="dxa"/>
            <w:vAlign w:val="bottom"/>
          </w:tcPr>
          <w:p>
            <w:pPr>
              <w:spacing w:after="0"/>
              <w:rPr>
                <w:sz w:val="18"/>
                <w:szCs w:val="18"/>
                <w:color w:val="auto"/>
              </w:rPr>
            </w:pPr>
          </w:p>
        </w:tc>
        <w:tc>
          <w:tcPr>
            <w:tcW w:w="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2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140" w:type="dxa"/>
            <w:vAlign w:val="bottom"/>
            <w:tcBorders>
              <w:top w:val="single" w:sz="8" w:color="auto"/>
            </w:tcBorders>
            <w:gridSpan w:val="2"/>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20" w:type="dxa"/>
            <w:vAlign w:val="bottom"/>
            <w:gridSpan w:val="4"/>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Consolidated net income</w:t>
            </w:r>
          </w:p>
        </w:tc>
        <w:tc>
          <w:tcPr>
            <w:tcW w:w="4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1,387</w:t>
            </w:r>
          </w:p>
        </w:tc>
        <w:tc>
          <w:tcPr>
            <w:tcW w:w="440" w:type="dxa"/>
            <w:vAlign w:val="bottom"/>
            <w:gridSpan w:val="2"/>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consolidated net income to net cash provided by operating activities: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Depreciation, depletion and amortization</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1,057</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Deferred income tax expense (benefit)</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Interest accretion on landfill and environmental remediation liabilities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Provision for bad debts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Equity-based compensation expense</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Net gain on disposal of assets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(Gain) loss from divestitures, asset impairments and other, net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Equity in net (income) losses of unconsolidated entities, net of dividends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Change in operating assets and liabilities, net of effects of acquisitions and divestitures: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Receivables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current assets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Deferred revenues and other liabilities</w:t>
            </w:r>
          </w:p>
        </w:tc>
        <w:tc>
          <w:tcPr>
            <w:tcW w:w="2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2,521</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Acquisitions of businesses, net of cash acquired</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Capital expenditures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(1,335)</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Proceeds from divestitures of businesses and other assets, net of cash divested</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Other, net</w:t>
            </w:r>
          </w:p>
        </w:tc>
        <w:tc>
          <w:tcPr>
            <w:tcW w:w="2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w:t>
            </w: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(2,359)</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New borrowings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9,180</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Debt repayments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(8,752)</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Common stock repurchase program</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Cash dividends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Exercise of common stock options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Tax payments associated with equity-based compensation transactions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Other, net</w:t>
            </w:r>
          </w:p>
        </w:tc>
        <w:tc>
          <w:tcPr>
            <w:tcW w:w="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 and cash equivalents</w:t>
            </w:r>
          </w:p>
        </w:tc>
        <w:tc>
          <w:tcPr>
            <w:tcW w:w="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(Decrease) increase in cash, cash equivalents and restricted cash and cash equivalents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and cash equivalents at beginning of period</w:t>
            </w:r>
          </w:p>
        </w:tc>
        <w:tc>
          <w:tcPr>
            <w:tcW w:w="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and cash equivalents at end of period</w:t>
            </w:r>
          </w:p>
        </w:tc>
        <w:tc>
          <w:tcPr>
            <w:tcW w:w="2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6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Reconciliation of cash, cash equivalents and restricted cash and cash equivalents at end of period:</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440" w:type="dxa"/>
            <w:vAlign w:val="bottom"/>
            <w:gridSpan w:val="2"/>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cash and cash equivalents included in other current assets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Restricted cash and cash equivalents included in restricted funds</w:t>
            </w:r>
          </w:p>
        </w:tc>
        <w:tc>
          <w:tcPr>
            <w:tcW w:w="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and cash equivalents at end of period</w:t>
            </w:r>
          </w:p>
        </w:tc>
        <w:tc>
          <w:tcPr>
            <w:tcW w:w="2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 w:name="page5"/>
    <w:bookmarkEnd w:id="4"/>
    <w:p>
      <w:pPr>
        <w:ind w:left="3260"/>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Shares 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1"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gridSpan w:val="1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Waste Management, Inc. Stockholders’ Equity</w:t>
            </w: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gridSpan w:val="3"/>
          </w:tcPr>
          <w:p>
            <w:pPr>
              <w:jc w:val="center"/>
              <w:ind w:right="60"/>
              <w:spacing w:after="0" w:line="126"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5"/>
          </w:tcPr>
          <w:p>
            <w:pPr>
              <w:ind w:left="1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9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360" w:type="dxa"/>
            <w:vAlign w:val="bottom"/>
            <w:gridSpan w:val="4"/>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8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3"/>
                <w:szCs w:val="13"/>
                <w:b w:val="1"/>
                <w:bCs w:val="1"/>
                <w:color w:val="auto"/>
              </w:rPr>
              <w:t>Total</w:t>
            </w:r>
          </w:p>
        </w:tc>
        <w:tc>
          <w:tcPr>
            <w:tcW w:w="620" w:type="dxa"/>
            <w:vAlign w:val="bottom"/>
            <w:tcBorders>
              <w:top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5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3"/>
                <w:szCs w:val="13"/>
                <w:b w:val="1"/>
                <w:bCs w:val="1"/>
                <w:color w:val="auto"/>
                <w:w w:val="98"/>
              </w:rPr>
              <w:t>Amounts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Capital</w:t>
            </w:r>
          </w:p>
        </w:tc>
        <w:tc>
          <w:tcPr>
            <w:tcW w:w="6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980" w:type="dxa"/>
            <w:vAlign w:val="bottom"/>
            <w:gridSpan w:val="3"/>
          </w:tcPr>
          <w:p>
            <w:pPr>
              <w:jc w:val="center"/>
              <w:ind w:right="120"/>
              <w:spacing w:after="0" w:line="142" w:lineRule="exact"/>
              <w:rPr>
                <w:sz w:val="20"/>
                <w:szCs w:val="20"/>
                <w:color w:val="auto"/>
              </w:rPr>
            </w:pPr>
            <w:r>
              <w:rPr>
                <w:rFonts w:ascii="Times New Roman" w:cs="Times New Roman" w:eastAsia="Times New Roman" w:hAnsi="Times New Roman"/>
                <w:sz w:val="13"/>
                <w:szCs w:val="13"/>
                <w:b w:val="1"/>
                <w:bCs w:val="1"/>
                <w:color w:val="auto"/>
              </w:rPr>
              <w:t>(Loss) Income</w:t>
            </w:r>
          </w:p>
        </w:tc>
        <w:tc>
          <w:tcPr>
            <w:tcW w:w="660" w:type="dxa"/>
            <w:vAlign w:val="bottom"/>
            <w:tcBorders>
              <w:top w:val="single" w:sz="8" w:color="auto"/>
            </w:tcBorders>
            <w:gridSpan w:val="2"/>
          </w:tcPr>
          <w:p>
            <w:pPr>
              <w:jc w:val="right"/>
              <w:ind w:right="160"/>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Amounts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108"/>
              <w:spacing w:after="0" w:line="142" w:lineRule="exact"/>
              <w:rPr>
                <w:sz w:val="20"/>
                <w:szCs w:val="20"/>
                <w:color w:val="auto"/>
              </w:rPr>
            </w:pPr>
            <w:r>
              <w:rPr>
                <w:rFonts w:ascii="Times New Roman" w:cs="Times New Roman" w:eastAsia="Times New Roman" w:hAnsi="Times New Roman"/>
                <w:sz w:val="13"/>
                <w:szCs w:val="13"/>
                <w:b w:val="1"/>
                <w:bCs w:val="1"/>
                <w:color w:val="auto"/>
              </w:rPr>
              <w:t>Interests</w:t>
            </w:r>
          </w:p>
        </w:tc>
        <w:tc>
          <w:tcPr>
            <w:tcW w:w="0" w:type="dxa"/>
            <w:vAlign w:val="bottom"/>
          </w:tcPr>
          <w:p>
            <w:pPr>
              <w:spacing w:after="0"/>
              <w:rPr>
                <w:sz w:val="1"/>
                <w:szCs w:val="1"/>
                <w:color w:val="auto"/>
              </w:rPr>
            </w:pPr>
          </w:p>
        </w:tc>
      </w:tr>
      <w:tr>
        <w:trPr>
          <w:trHeight w:val="128"/>
        </w:trPr>
        <w:tc>
          <w:tcPr>
            <w:tcW w:w="2580" w:type="dxa"/>
            <w:vAlign w:val="bottom"/>
            <w:tcBorders>
              <w:top w:val="single" w:sz="8" w:color="CCEEFF"/>
            </w:tcBorders>
            <w:gridSpan w:val="4"/>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88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4"/>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March 31, 2024</w:t>
            </w:r>
          </w:p>
        </w:tc>
        <w:tc>
          <w:tcPr>
            <w:tcW w:w="5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$ 7,078</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630,282</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5,352</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$ 14,738</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(60)</w:t>
            </w:r>
          </w:p>
        </w:tc>
        <w:tc>
          <w:tcPr>
            <w:tcW w:w="66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(228,980)</w:t>
            </w:r>
          </w:p>
        </w:tc>
        <w:tc>
          <w:tcPr>
            <w:tcW w:w="70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 (12,954)</w:t>
            </w:r>
          </w:p>
        </w:tc>
        <w:tc>
          <w:tcPr>
            <w:tcW w:w="1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48"/>
        </w:trPr>
        <w:tc>
          <w:tcPr>
            <w:tcW w:w="258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Consolidated net income</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680</w:t>
            </w:r>
          </w:p>
        </w:tc>
        <w:tc>
          <w:tcPr>
            <w:tcW w:w="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3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680</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580" w:type="dxa"/>
            <w:vAlign w:val="bottom"/>
            <w:gridSpan w:val="4"/>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Other comprehensive income (loss), net of</w:t>
            </w:r>
          </w:p>
        </w:tc>
        <w:tc>
          <w:tcPr>
            <w:tcW w:w="5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w:t>
            </w: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5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w:t>
            </w:r>
          </w:p>
        </w:tc>
        <w:tc>
          <w:tcPr>
            <w:tcW w:w="58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gridSpan w:val="4"/>
          </w:tcPr>
          <w:p>
            <w:pPr>
              <w:ind w:left="20"/>
              <w:spacing w:after="0" w:line="126" w:lineRule="exact"/>
              <w:rPr>
                <w:sz w:val="20"/>
                <w:szCs w:val="20"/>
                <w:color w:val="auto"/>
              </w:rPr>
            </w:pPr>
            <w:r>
              <w:rPr>
                <w:rFonts w:ascii="Times New Roman" w:cs="Times New Roman" w:eastAsia="Times New Roman" w:hAnsi="Times New Roman"/>
                <w:sz w:val="14"/>
                <w:szCs w:val="14"/>
                <w:color w:val="auto"/>
              </w:rPr>
              <w:t>Cash dividends declared of $0.75 per</w:t>
            </w:r>
          </w:p>
        </w:tc>
        <w:tc>
          <w:tcPr>
            <w:tcW w:w="5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(301)</w:t>
            </w: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(301)</w:t>
            </w:r>
          </w:p>
        </w:tc>
        <w:tc>
          <w:tcPr>
            <w:tcW w:w="180" w:type="dxa"/>
            <w:vAlign w:val="bottom"/>
          </w:tcPr>
          <w:p>
            <w:pPr>
              <w:spacing w:after="0"/>
              <w:rPr>
                <w:sz w:val="10"/>
                <w:szCs w:val="10"/>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5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common share</w:t>
            </w:r>
          </w:p>
        </w:tc>
        <w:tc>
          <w:tcPr>
            <w:tcW w:w="58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gridSpan w:val="4"/>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Equity-based compensation transactions,</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6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6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5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w:t>
            </w:r>
          </w:p>
        </w:tc>
        <w:tc>
          <w:tcPr>
            <w:tcW w:w="5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8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Common stock repurchase program</w:t>
            </w:r>
          </w:p>
        </w:tc>
        <w:tc>
          <w:tcPr>
            <w:tcW w:w="5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6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3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(266)</w:t>
            </w:r>
          </w:p>
        </w:tc>
        <w:tc>
          <w:tcPr>
            <w:tcW w:w="7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580" w:type="dxa"/>
            <w:vAlign w:val="bottom"/>
            <w:gridSpan w:val="4"/>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Adoption of new accounting standard</w:t>
            </w:r>
          </w:p>
        </w:tc>
        <w:tc>
          <w:tcPr>
            <w:tcW w:w="5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6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58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net</w:t>
            </w:r>
          </w:p>
        </w:tc>
        <w:tc>
          <w:tcPr>
            <w:tcW w:w="5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3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2"/>
        </w:trPr>
        <w:tc>
          <w:tcPr>
            <w:tcW w:w="2580" w:type="dxa"/>
            <w:vAlign w:val="bottom"/>
            <w:tcBorders>
              <w:top w:val="single" w:sz="8" w:color="CCEEFF"/>
              <w:bottom w:val="single" w:sz="8" w:color="CCEEFF"/>
            </w:tcBorders>
            <w:gridSpan w:val="4"/>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June 30, 2024</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$ 7,451</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630,282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5,433</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$ 15,104</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(73)</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(229,183)</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(13,013)</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gridSpan w:val="3"/>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March 31, 2023</w:t>
            </w:r>
          </w:p>
        </w:tc>
        <w:tc>
          <w:tcPr>
            <w:tcW w:w="5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$ 6,808</w:t>
            </w:r>
          </w:p>
        </w:tc>
        <w:tc>
          <w:tcPr>
            <w:tcW w:w="8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630,282</w:t>
            </w:r>
          </w:p>
        </w:tc>
        <w:tc>
          <w:tcPr>
            <w:tcW w:w="80" w:type="dxa"/>
            <w:vAlign w:val="bottom"/>
          </w:tcPr>
          <w:p>
            <w:pPr>
              <w:spacing w:after="0"/>
              <w:rPr>
                <w:sz w:val="12"/>
                <w:szCs w:val="12"/>
                <w:color w:val="auto"/>
              </w:rPr>
            </w:pPr>
          </w:p>
        </w:tc>
        <w:tc>
          <w:tcPr>
            <w:tcW w:w="2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60" w:type="dxa"/>
            <w:vAlign w:val="bottom"/>
          </w:tcPr>
          <w:p>
            <w:pPr>
              <w:spacing w:after="0"/>
              <w:rPr>
                <w:sz w:val="12"/>
                <w:szCs w:val="12"/>
                <w:color w:val="auto"/>
              </w:rPr>
            </w:pPr>
          </w:p>
        </w:tc>
        <w:tc>
          <w:tcPr>
            <w:tcW w:w="1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5,244</w:t>
            </w:r>
          </w:p>
        </w:tc>
        <w:tc>
          <w:tcPr>
            <w:tcW w:w="6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$ 13,414</w:t>
            </w:r>
          </w:p>
        </w:tc>
        <w:tc>
          <w:tcPr>
            <w:tcW w:w="60" w:type="dxa"/>
            <w:vAlign w:val="bottom"/>
          </w:tcPr>
          <w:p>
            <w:pPr>
              <w:spacing w:after="0"/>
              <w:rPr>
                <w:sz w:val="12"/>
                <w:szCs w:val="12"/>
                <w:color w:val="auto"/>
              </w:rPr>
            </w:pPr>
          </w:p>
        </w:tc>
        <w:tc>
          <w:tcPr>
            <w:tcW w:w="1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(57)</w:t>
            </w:r>
          </w:p>
        </w:tc>
        <w:tc>
          <w:tcPr>
            <w:tcW w:w="6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(223,491)</w:t>
            </w:r>
          </w:p>
        </w:tc>
        <w:tc>
          <w:tcPr>
            <w:tcW w:w="70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 (11,813)</w:t>
            </w:r>
          </w:p>
        </w:tc>
        <w:tc>
          <w:tcPr>
            <w:tcW w:w="1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48"/>
        </w:trPr>
        <w:tc>
          <w:tcPr>
            <w:tcW w:w="2580" w:type="dxa"/>
            <w:vAlign w:val="bottom"/>
            <w:gridSpan w:val="4"/>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Consolidated net income</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613</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615</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26"/>
        </w:trPr>
        <w:tc>
          <w:tcPr>
            <w:tcW w:w="2580" w:type="dxa"/>
            <w:vAlign w:val="bottom"/>
            <w:gridSpan w:val="4"/>
          </w:tcPr>
          <w:p>
            <w:pPr>
              <w:ind w:left="20"/>
              <w:spacing w:after="0" w:line="126" w:lineRule="exact"/>
              <w:rPr>
                <w:sz w:val="20"/>
                <w:szCs w:val="20"/>
                <w:color w:val="auto"/>
              </w:rPr>
            </w:pPr>
            <w:r>
              <w:rPr>
                <w:rFonts w:ascii="Times New Roman" w:cs="Times New Roman" w:eastAsia="Times New Roman" w:hAnsi="Times New Roman"/>
                <w:sz w:val="14"/>
                <w:szCs w:val="14"/>
                <w:color w:val="auto"/>
              </w:rPr>
              <w:t>Other comprehensive income (loss), net of</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0"/>
                <w:szCs w:val="10"/>
                <w:color w:val="auto"/>
              </w:rPr>
            </w:pP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0"/>
                <w:szCs w:val="10"/>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5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tax</w:t>
            </w:r>
          </w:p>
        </w:tc>
        <w:tc>
          <w:tcPr>
            <w:tcW w:w="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gridSpan w:val="4"/>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Cash dividends declared of $0.70 per</w:t>
            </w:r>
          </w:p>
        </w:tc>
        <w:tc>
          <w:tcPr>
            <w:tcW w:w="5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(283)</w:t>
            </w: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(283)</w:t>
            </w:r>
          </w:p>
        </w:tc>
        <w:tc>
          <w:tcPr>
            <w:tcW w:w="1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5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share</w:t>
            </w:r>
          </w:p>
        </w:tc>
        <w:tc>
          <w:tcPr>
            <w:tcW w:w="58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gridSpan w:val="4"/>
          </w:tcPr>
          <w:p>
            <w:pPr>
              <w:ind w:left="20"/>
              <w:spacing w:after="0" w:line="126" w:lineRule="exact"/>
              <w:rPr>
                <w:sz w:val="20"/>
                <w:szCs w:val="20"/>
                <w:color w:val="auto"/>
              </w:rPr>
            </w:pPr>
            <w:r>
              <w:rPr>
                <w:rFonts w:ascii="Times New Roman" w:cs="Times New Roman" w:eastAsia="Times New Roman" w:hAnsi="Times New Roman"/>
                <w:sz w:val="14"/>
                <w:szCs w:val="14"/>
                <w:color w:val="auto"/>
              </w:rPr>
              <w:t>Equity-based compensation transactions,</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0"/>
                <w:szCs w:val="10"/>
                <w:color w:val="auto"/>
              </w:rPr>
            </w:pP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60" w:type="dxa"/>
            <w:vAlign w:val="bottom"/>
          </w:tcPr>
          <w:p>
            <w:pPr>
              <w:spacing w:after="0"/>
              <w:rPr>
                <w:sz w:val="10"/>
                <w:szCs w:val="10"/>
                <w:color w:val="auto"/>
              </w:rPr>
            </w:pPr>
          </w:p>
        </w:tc>
        <w:tc>
          <w:tcPr>
            <w:tcW w:w="6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w:t>
            </w:r>
          </w:p>
        </w:tc>
        <w:tc>
          <w:tcPr>
            <w:tcW w:w="180" w:type="dxa"/>
            <w:vAlign w:val="bottom"/>
          </w:tcPr>
          <w:p>
            <w:pPr>
              <w:spacing w:after="0"/>
              <w:rPr>
                <w:sz w:val="10"/>
                <w:szCs w:val="10"/>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6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5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net</w:t>
            </w:r>
          </w:p>
        </w:tc>
        <w:tc>
          <w:tcPr>
            <w:tcW w:w="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80" w:type="dxa"/>
            <w:vAlign w:val="bottom"/>
            <w:gridSpan w:val="4"/>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Common stock repurchase program</w:t>
            </w:r>
          </w:p>
        </w:tc>
        <w:tc>
          <w:tcPr>
            <w:tcW w:w="5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(275)</w:t>
            </w:r>
          </w:p>
        </w:tc>
        <w:tc>
          <w:tcPr>
            <w:tcW w:w="6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(2,074)</w:t>
            </w:r>
          </w:p>
        </w:tc>
        <w:tc>
          <w:tcPr>
            <w:tcW w:w="7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(345)</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58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net</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3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42"/>
        </w:trPr>
        <w:tc>
          <w:tcPr>
            <w:tcW w:w="2580" w:type="dxa"/>
            <w:vAlign w:val="bottom"/>
            <w:tcBorders>
              <w:top w:val="single" w:sz="8" w:color="CCEEFF"/>
              <w:bottom w:val="single" w:sz="8" w:color="CCEEFF"/>
            </w:tcBorders>
            <w:gridSpan w:val="4"/>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June 30, 2023</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$ 6,928</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630,282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5,341</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$ 13,744</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(225,407)</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(12,150)</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 w:name="page6"/>
    <w:bookmarkEnd w:id="5"/>
    <w:p>
      <w:pPr>
        <w:ind w:left="3260"/>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 ─ (Continued)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Shares 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1"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gridSpan w:val="1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Waste Management, Inc. Stockholders’ Equity</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2"/>
          </w:tcPr>
          <w:p>
            <w:pPr>
              <w:jc w:val="center"/>
              <w:ind w:right="120"/>
              <w:spacing w:after="0" w:line="126"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5"/>
          </w:tcPr>
          <w:p>
            <w:pPr>
              <w:ind w:left="1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9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360" w:type="dxa"/>
            <w:vAlign w:val="bottom"/>
            <w:gridSpan w:val="4"/>
          </w:tcPr>
          <w:p>
            <w:pPr>
              <w:ind w:left="20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3"/>
                <w:szCs w:val="13"/>
                <w:b w:val="1"/>
                <w:bCs w:val="1"/>
                <w:color w:val="auto"/>
              </w:rPr>
              <w:t>Total</w:t>
            </w:r>
          </w:p>
        </w:tc>
        <w:tc>
          <w:tcPr>
            <w:tcW w:w="640" w:type="dxa"/>
            <w:vAlign w:val="bottom"/>
            <w:tcBorders>
              <w:top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54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Amounts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Capital</w:t>
            </w:r>
          </w:p>
        </w:tc>
        <w:tc>
          <w:tcPr>
            <w:tcW w:w="64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980" w:type="dxa"/>
            <w:vAlign w:val="bottom"/>
            <w:gridSpan w:val="3"/>
          </w:tcPr>
          <w:p>
            <w:pPr>
              <w:jc w:val="center"/>
              <w:ind w:right="120"/>
              <w:spacing w:after="0" w:line="142" w:lineRule="exact"/>
              <w:rPr>
                <w:sz w:val="20"/>
                <w:szCs w:val="20"/>
                <w:color w:val="auto"/>
              </w:rPr>
            </w:pPr>
            <w:r>
              <w:rPr>
                <w:rFonts w:ascii="Times New Roman" w:cs="Times New Roman" w:eastAsia="Times New Roman" w:hAnsi="Times New Roman"/>
                <w:sz w:val="13"/>
                <w:szCs w:val="13"/>
                <w:b w:val="1"/>
                <w:bCs w:val="1"/>
                <w:color w:val="auto"/>
              </w:rPr>
              <w:t>(Loss) Income</w:t>
            </w:r>
          </w:p>
        </w:tc>
        <w:tc>
          <w:tcPr>
            <w:tcW w:w="680" w:type="dxa"/>
            <w:vAlign w:val="bottom"/>
            <w:tcBorders>
              <w:top w:val="single" w:sz="8" w:color="auto"/>
            </w:tcBorders>
            <w:gridSpan w:val="2"/>
          </w:tcPr>
          <w:p>
            <w:pPr>
              <w:jc w:val="right"/>
              <w:ind w:right="180"/>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Amounts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128"/>
              <w:spacing w:after="0" w:line="142" w:lineRule="exact"/>
              <w:rPr>
                <w:sz w:val="20"/>
                <w:szCs w:val="20"/>
                <w:color w:val="auto"/>
              </w:rPr>
            </w:pPr>
            <w:r>
              <w:rPr>
                <w:rFonts w:ascii="Times New Roman" w:cs="Times New Roman" w:eastAsia="Times New Roman" w:hAnsi="Times New Roman"/>
                <w:sz w:val="13"/>
                <w:szCs w:val="13"/>
                <w:b w:val="1"/>
                <w:bCs w:val="1"/>
                <w:color w:val="auto"/>
              </w:rPr>
              <w:t>Interests</w:t>
            </w:r>
          </w:p>
        </w:tc>
        <w:tc>
          <w:tcPr>
            <w:tcW w:w="0" w:type="dxa"/>
            <w:vAlign w:val="bottom"/>
          </w:tcPr>
          <w:p>
            <w:pPr>
              <w:spacing w:after="0"/>
              <w:rPr>
                <w:sz w:val="1"/>
                <w:szCs w:val="1"/>
                <w:color w:val="auto"/>
              </w:rPr>
            </w:pPr>
          </w:p>
        </w:tc>
      </w:tr>
      <w:tr>
        <w:trPr>
          <w:trHeight w:val="128"/>
        </w:trPr>
        <w:tc>
          <w:tcPr>
            <w:tcW w:w="2540" w:type="dxa"/>
            <w:vAlign w:val="bottom"/>
            <w:tcBorders>
              <w:top w:val="single" w:sz="8" w:color="CCEEFF"/>
            </w:tcBorders>
            <w:gridSpan w:val="4"/>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70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40" w:type="dxa"/>
            <w:vAlign w:val="bottom"/>
            <w:gridSpan w:val="4"/>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December 31, 2023</w:t>
            </w:r>
          </w:p>
        </w:tc>
        <w:tc>
          <w:tcPr>
            <w:tcW w:w="5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$ 6,896</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630,282</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5,351</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$ 14,334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(37)</w:t>
            </w:r>
          </w:p>
        </w:tc>
        <w:tc>
          <w:tcPr>
            <w:tcW w:w="68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(228,827)</w:t>
            </w:r>
          </w:p>
        </w:tc>
        <w:tc>
          <w:tcPr>
            <w:tcW w:w="68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 (12,751)</w:t>
            </w:r>
          </w:p>
        </w:tc>
        <w:tc>
          <w:tcPr>
            <w:tcW w:w="1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48"/>
        </w:trPr>
        <w:tc>
          <w:tcPr>
            <w:tcW w:w="254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Consolidated net income</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1,387</w:t>
            </w:r>
          </w:p>
        </w:tc>
        <w:tc>
          <w:tcPr>
            <w:tcW w:w="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4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26"/>
        </w:trPr>
        <w:tc>
          <w:tcPr>
            <w:tcW w:w="2540" w:type="dxa"/>
            <w:vAlign w:val="bottom"/>
            <w:gridSpan w:val="4"/>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Other comprehensive income (loss), net of</w:t>
            </w:r>
          </w:p>
        </w:tc>
        <w:tc>
          <w:tcPr>
            <w:tcW w:w="5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(36)</w:t>
            </w: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4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(36)</w:t>
            </w: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5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w:t>
            </w:r>
          </w:p>
        </w:tc>
        <w:tc>
          <w:tcPr>
            <w:tcW w:w="56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40" w:type="dxa"/>
            <w:vAlign w:val="bottom"/>
            <w:gridSpan w:val="4"/>
          </w:tcPr>
          <w:p>
            <w:pPr>
              <w:ind w:left="20"/>
              <w:spacing w:after="0" w:line="126" w:lineRule="exact"/>
              <w:rPr>
                <w:sz w:val="20"/>
                <w:szCs w:val="20"/>
                <w:color w:val="auto"/>
              </w:rPr>
            </w:pPr>
            <w:r>
              <w:rPr>
                <w:rFonts w:ascii="Times New Roman" w:cs="Times New Roman" w:eastAsia="Times New Roman" w:hAnsi="Times New Roman"/>
                <w:sz w:val="14"/>
                <w:szCs w:val="14"/>
                <w:color w:val="auto"/>
              </w:rPr>
              <w:t>Cash dividends declared of $1.50 per</w:t>
            </w:r>
          </w:p>
        </w:tc>
        <w:tc>
          <w:tcPr>
            <w:tcW w:w="5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(608)</w:t>
            </w: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4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(608)</w:t>
            </w:r>
          </w:p>
        </w:tc>
        <w:tc>
          <w:tcPr>
            <w:tcW w:w="60" w:type="dxa"/>
            <w:vAlign w:val="bottom"/>
          </w:tcPr>
          <w:p>
            <w:pPr>
              <w:spacing w:after="0"/>
              <w:rPr>
                <w:sz w:val="10"/>
                <w:szCs w:val="10"/>
                <w:color w:val="auto"/>
              </w:rPr>
            </w:pP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5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common share</w:t>
            </w:r>
          </w:p>
        </w:tc>
        <w:tc>
          <w:tcPr>
            <w:tcW w:w="56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40" w:type="dxa"/>
            <w:vAlign w:val="bottom"/>
            <w:gridSpan w:val="4"/>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Equity-based compensation transactions,</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6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4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w:t>
            </w:r>
          </w:p>
        </w:tc>
        <w:tc>
          <w:tcPr>
            <w:tcW w:w="8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5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w:t>
            </w:r>
          </w:p>
        </w:tc>
        <w:tc>
          <w:tcPr>
            <w:tcW w:w="5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4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Common stock repurchase program</w:t>
            </w:r>
          </w:p>
        </w:tc>
        <w:tc>
          <w:tcPr>
            <w:tcW w:w="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(265)</w:t>
            </w: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4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8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(1,494)</w:t>
            </w:r>
          </w:p>
        </w:tc>
        <w:tc>
          <w:tcPr>
            <w:tcW w:w="6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(325)</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540" w:type="dxa"/>
            <w:vAlign w:val="bottom"/>
            <w:gridSpan w:val="4"/>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Adoption of new accounting standard</w:t>
            </w:r>
          </w:p>
        </w:tc>
        <w:tc>
          <w:tcPr>
            <w:tcW w:w="5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net</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4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2"/>
        </w:trPr>
        <w:tc>
          <w:tcPr>
            <w:tcW w:w="2540" w:type="dxa"/>
            <w:vAlign w:val="bottom"/>
            <w:tcBorders>
              <w:top w:val="single" w:sz="8" w:color="CCEEFF"/>
              <w:bottom w:val="single" w:sz="8" w:color="CCEEFF"/>
            </w:tcBorders>
            <w:gridSpan w:val="4"/>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June 30, 2024</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$ 7,451</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630,282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5,433</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$ 15,104</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(73)</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(229,183)</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(13,013)</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gridSpan w:val="3"/>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2023</w:t>
            </w:r>
          </w:p>
        </w:tc>
        <w:tc>
          <w:tcPr>
            <w:tcW w:w="8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4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December 31, 2022</w:t>
            </w:r>
          </w:p>
        </w:tc>
        <w:tc>
          <w:tcPr>
            <w:tcW w:w="5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$ 6,864</w:t>
            </w:r>
          </w:p>
        </w:tc>
        <w:tc>
          <w:tcPr>
            <w:tcW w:w="6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630,282</w:t>
            </w:r>
          </w:p>
        </w:tc>
        <w:tc>
          <w:tcPr>
            <w:tcW w:w="80" w:type="dxa"/>
            <w:vAlign w:val="bottom"/>
          </w:tcPr>
          <w:p>
            <w:pPr>
              <w:spacing w:after="0"/>
              <w:rPr>
                <w:sz w:val="12"/>
                <w:szCs w:val="12"/>
                <w:color w:val="auto"/>
              </w:rPr>
            </w:pPr>
          </w:p>
        </w:tc>
        <w:tc>
          <w:tcPr>
            <w:tcW w:w="2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60" w:type="dxa"/>
            <w:vAlign w:val="bottom"/>
          </w:tcPr>
          <w:p>
            <w:pPr>
              <w:spacing w:after="0"/>
              <w:rPr>
                <w:sz w:val="12"/>
                <w:szCs w:val="12"/>
                <w:color w:val="auto"/>
              </w:rPr>
            </w:pPr>
          </w:p>
        </w:tc>
        <w:tc>
          <w:tcPr>
            <w:tcW w:w="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5,314</w:t>
            </w:r>
          </w:p>
        </w:tc>
        <w:tc>
          <w:tcPr>
            <w:tcW w:w="8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$ 13,167</w:t>
            </w:r>
          </w:p>
        </w:tc>
        <w:tc>
          <w:tcPr>
            <w:tcW w:w="80" w:type="dxa"/>
            <w:vAlign w:val="bottom"/>
          </w:tcPr>
          <w:p>
            <w:pPr>
              <w:spacing w:after="0"/>
              <w:rPr>
                <w:sz w:val="12"/>
                <w:szCs w:val="1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(69)</w:t>
            </w:r>
          </w:p>
        </w:tc>
        <w:tc>
          <w:tcPr>
            <w:tcW w:w="68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(222,396)</w:t>
            </w:r>
          </w:p>
        </w:tc>
        <w:tc>
          <w:tcPr>
            <w:tcW w:w="68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 (11,569)</w:t>
            </w:r>
          </w:p>
        </w:tc>
        <w:tc>
          <w:tcPr>
            <w:tcW w:w="1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48"/>
        </w:trPr>
        <w:tc>
          <w:tcPr>
            <w:tcW w:w="2540" w:type="dxa"/>
            <w:vAlign w:val="bottom"/>
            <w:gridSpan w:val="4"/>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Consolidated net income</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1,145</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1,148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26"/>
        </w:trPr>
        <w:tc>
          <w:tcPr>
            <w:tcW w:w="2540" w:type="dxa"/>
            <w:vAlign w:val="bottom"/>
            <w:gridSpan w:val="4"/>
          </w:tcPr>
          <w:p>
            <w:pPr>
              <w:ind w:left="20"/>
              <w:spacing w:after="0" w:line="126" w:lineRule="exact"/>
              <w:rPr>
                <w:sz w:val="20"/>
                <w:szCs w:val="20"/>
                <w:color w:val="auto"/>
              </w:rPr>
            </w:pPr>
            <w:r>
              <w:rPr>
                <w:rFonts w:ascii="Times New Roman" w:cs="Times New Roman" w:eastAsia="Times New Roman" w:hAnsi="Times New Roman"/>
                <w:sz w:val="14"/>
                <w:szCs w:val="14"/>
                <w:color w:val="auto"/>
              </w:rPr>
              <w:t>Other comprehensive income (loss), net of</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60" w:type="dxa"/>
            <w:vAlign w:val="bottom"/>
          </w:tcPr>
          <w:p>
            <w:pPr>
              <w:spacing w:after="0"/>
              <w:rPr>
                <w:sz w:val="10"/>
                <w:szCs w:val="10"/>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4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Pr>
          <w:p>
            <w:pPr>
              <w:spacing w:after="0"/>
              <w:rPr>
                <w:sz w:val="10"/>
                <w:szCs w:val="10"/>
                <w:color w:val="auto"/>
              </w:rPr>
            </w:pP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5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tax</w:t>
            </w:r>
          </w:p>
        </w:tc>
        <w:tc>
          <w:tcPr>
            <w:tcW w:w="5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40" w:type="dxa"/>
            <w:vAlign w:val="bottom"/>
            <w:gridSpan w:val="4"/>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Cash dividends declared of $1.40 per</w:t>
            </w:r>
          </w:p>
        </w:tc>
        <w:tc>
          <w:tcPr>
            <w:tcW w:w="5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(572)</w:t>
            </w: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4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(572)</w:t>
            </w:r>
          </w:p>
        </w:tc>
        <w:tc>
          <w:tcPr>
            <w:tcW w:w="6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5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share</w:t>
            </w:r>
          </w:p>
        </w:tc>
        <w:tc>
          <w:tcPr>
            <w:tcW w:w="56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40" w:type="dxa"/>
            <w:vAlign w:val="bottom"/>
            <w:gridSpan w:val="4"/>
          </w:tcPr>
          <w:p>
            <w:pPr>
              <w:ind w:left="20"/>
              <w:spacing w:after="0" w:line="126" w:lineRule="exact"/>
              <w:rPr>
                <w:sz w:val="20"/>
                <w:szCs w:val="20"/>
                <w:color w:val="auto"/>
              </w:rPr>
            </w:pPr>
            <w:r>
              <w:rPr>
                <w:rFonts w:ascii="Times New Roman" w:cs="Times New Roman" w:eastAsia="Times New Roman" w:hAnsi="Times New Roman"/>
                <w:sz w:val="14"/>
                <w:szCs w:val="14"/>
                <w:color w:val="auto"/>
              </w:rPr>
              <w:t>Equity-based compensation transactions,</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60" w:type="dxa"/>
            <w:vAlign w:val="bottom"/>
          </w:tcPr>
          <w:p>
            <w:pPr>
              <w:spacing w:after="0"/>
              <w:rPr>
                <w:sz w:val="10"/>
                <w:szCs w:val="10"/>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4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923</w:t>
            </w:r>
          </w:p>
        </w:tc>
        <w:tc>
          <w:tcPr>
            <w:tcW w:w="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5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net</w:t>
            </w:r>
          </w:p>
        </w:tc>
        <w:tc>
          <w:tcPr>
            <w:tcW w:w="5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40" w:type="dxa"/>
            <w:vAlign w:val="bottom"/>
            <w:gridSpan w:val="4"/>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Common stock repurchase program</w:t>
            </w:r>
          </w:p>
        </w:tc>
        <w:tc>
          <w:tcPr>
            <w:tcW w:w="5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(628)</w:t>
            </w: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(3,936)</w:t>
            </w:r>
          </w:p>
        </w:tc>
        <w:tc>
          <w:tcPr>
            <w:tcW w:w="6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(628)</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54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net</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4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42"/>
        </w:trPr>
        <w:tc>
          <w:tcPr>
            <w:tcW w:w="2540" w:type="dxa"/>
            <w:vAlign w:val="bottom"/>
            <w:tcBorders>
              <w:top w:val="single" w:sz="8" w:color="CCEEFF"/>
              <w:bottom w:val="single" w:sz="8" w:color="CCEEFF"/>
            </w:tcBorders>
            <w:gridSpan w:val="4"/>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June 30, 2023</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$ 6,928</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630,282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5,341</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$ 13,744</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(225,407)</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(12,150)</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p>
      <w:pPr>
        <w:ind w:left="60"/>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1.</w:t>
        <w:tab/>
        <w:t>Basis of Presentation</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financial statements presented in this report represent the consolidation of Waste Management, Inc., a Delaware corporation; its wholly-owned and majority-owned subsidiaries; and certain variable interest entities for which Waste Management, Inc. or its subsidiaries are the primary beneficiaries as described in Note 13. Waste Management, Inc. is a holding company and all operations are conducted by its subsidiaries. When the terms “the Company,” “we,” “us” or “our” are used in this document, those terms refer to Waste Management, Inc., together with its consolidated subsidiaries and consolidated variable interest entities. When we use the term “WMI,” we are referring only to Waste Management, Inc., the parent holding company.</w:t>
      </w:r>
    </w:p>
    <w:p>
      <w:pPr>
        <w:spacing w:after="0" w:line="18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are North America’s leading provider of comprehensive environmental solutions, providing services throughout the United States (“U.S.”) and Canada. We partner with our customers and the communities we serve to manage and reduce waste at each stage from collection to disposal, while recovering valuable resources and creating clean, renewable energy. Our business is operated and managed locally by our subsidiaries that focus on distinct geographic areas and provide collection, transfer, disposal, and recycling and resource recovery services. Through our subsidiaries, including our Waste Management Renewable Energy (“WM Renewable Energy”) business, we are also a leading developer, operator and owner of landfill gas-to-energy facilities in the U.S. and Canada that produce renewable electricity and renewable natural gas (“RNG”), which is a significant source of fuel that we allocate to our natural gas fleet.</w:t>
      </w:r>
    </w:p>
    <w:p>
      <w:pPr>
        <w:spacing w:after="0" w:line="19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Our senior management evaluates, oversees and manages the financial performance of our business through four reportable segments, referred to as (i) Collection and Disposal - East Tier (“East Tier”); (ii) Collection and Disposal - West Tier (“West Tier”); (iii) Recycling Processing and Sales and (iv) WM Renewable Energy. Our East and West Tier, along with certain ancillary services (“Other Ancillary”) not managed through our Tier segments, but that support our collection and disposal operations, form our “Collection and Disposal” businesses. We also provide additional services not managed through our four reportable segments, which are presented as Corporate and Other. Refer to Note 7 for further discussion.</w:t>
      </w:r>
    </w:p>
    <w:p>
      <w:pPr>
        <w:spacing w:after="0" w:line="18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Condensed Consolidated Financial Statements as of June 30, 2024 and for the three and six months ended June 30, 2024 and 2023 are unaudited. In the opinion of management, these financial statements include all adjustments, which, unless otherwise disclosed, are of a normal recurring nature, necessary for a fair presentation of the financial position, results of operations, comprehensive income, cash flows, and changes in equity for the periods presented. The results for interim periods are not necessarily indicative of results for the entire year. The financial statements presented herein should be read in conjunction with the financial statements included in our Annual Report on Form 10-K for the year ended December 31, 2023.</w:t>
      </w:r>
    </w:p>
    <w:p>
      <w:pPr>
        <w:spacing w:after="0" w:line="18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 impairments, intangible asset impairments and the fair value of assets and liabilities acquired in business combinations. Actual results could differ materially from the estimates and assumptions that we use in the preparation of our financial statements.</w:t>
      </w:r>
    </w:p>
    <w:p>
      <w:pPr>
        <w:spacing w:after="0" w:line="1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We generally recognize revenue as services are performed or products are delivered. For example, revenue typically is recognized as waste is collected, tons are received at our landfills or transfer stations, or recycling and other commodities,</w:t>
      </w: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such as RNG, electricity and capacity, Renewable Identification Numbers (“RINs”) and Renewable Energy Credits (“RECs”), are sold.</w:t>
      </w:r>
    </w:p>
    <w:p>
      <w:pPr>
        <w:spacing w:after="0" w:line="16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also bill for certain services prior to performance. Such services include, among others, certain commercial and residential contracts, and equipment rentals. These advanced billings are included in deferred revenues and recognized as revenue in the period service is provided. Substantially all our deferred revenues during the reported periods are realized as revenues within one to three months, when the related services are performed.</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Contract Acquisition Costs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Our incremental direct costs of obtaining a contract, which consist primarily of sales incentives, are generally deferred and amortized to selling, general and administrative expense over the estimated life of the relevant customer relationship, ranging from five to 13 years. Contract acquisition costs that are paid to the customer are deferred and amortized as a reduction in revenue over the contract life. Our contract acquisition costs are classified as current or noncurrent based on the timing of when we expect to recognize amortization and are included in other assets in our Condensed Consolidated Balance Sheets. As of June 30, 2024 and December 31, 2023, we had $217 million and $207 million, respectively, of deferred contract costs, of which $151 million and $148 million, respectively, were related to deferred sales incentives.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Amounts for our operating lease right-of-use assets are recorded in long-term other assets and the current and long-term portion of our operating lease liabilities are reflected in accrued liabilities and other long-term liabilities, respectively, in our Condensed Consolidated Balance Sheets. Amounts for our financing leases are recorded in property and equipment, net of accumulated depreciation and depletion, and current or long-term debt in our Condensed Consolidated Balance Sheets, as appropriate.</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Financial instruments that potentially subject us to concentrations of credit risk consist primarily of cash and cash equivalents, investments held within restricted funds, and accounts receivable. We make efforts to control our exposure to credit risk associated with these instruments by (i) placing our assets and other financial interests with a diverse group of credit-worthy financial institutions; (ii) holding high-quality financial instruments while limiting investments in any one instrument and (iii) maintaining strict policies over credit extension that include credit evaluations, credit limits and monitoring procedures, although generally we do not have collateral requirements for credit extensions. We also control our exposure associated with trade receivables by discontinuing service, to the extent allowable, to non-paying customers. However, our overall credit risk associated with trade receivables is limited due to the large number and diversity of customers we serve.</w:t>
      </w:r>
    </w:p>
    <w:p>
      <w:pPr>
        <w:spacing w:after="0" w:line="1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Other Current Assets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As of June 30, 2024, other current assets included $778 million of investments in certain WM tax-exempt bonds. We purchased these bonds because they were subject to mandatory scheduled remarketings during a period of time that we determined that we were unable to remarket the bonds to third-party investors because we were in possession of material non-public information about the pending announcement of our planned acquisition of Stericycle, Inc. (“Stericycle”). These investments are classified as current because we have the intent and ability to remarket the bonds within the next twelve months. The related tax-exempt debt is included in our Condensed Consolidated Balance Sheet as of June 30, 2024 as a component of long-term debt. In July 2024 we received $349 million from the successful remarketing of these tax-exempt bonds and expect to successfully remarket the remaining bonds held within the third quarter of 2024.</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29"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When necessary, reclassifications have been made to our prior period financial information to conform to the current year presentation and are not material to our Condensed Consolidated Financial Statements.</w:t>
      </w:r>
    </w:p>
    <w:p>
      <w:pPr>
        <w:spacing w:after="0" w:line="158" w:lineRule="exact"/>
        <w:rPr>
          <w:sz w:val="20"/>
          <w:szCs w:val="20"/>
          <w:color w:val="auto"/>
        </w:rPr>
      </w:pPr>
    </w:p>
    <w:p>
      <w:pPr>
        <w:ind w:left="360" w:hanging="310"/>
        <w:spacing w:after="0"/>
        <w:tabs>
          <w:tab w:leader="none" w:pos="3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Landfill and Environmental Remediation Liabilities</w:t>
      </w:r>
    </w:p>
    <w:p>
      <w:pPr>
        <w:spacing w:after="0" w:line="229"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Liabilities for landfill and environmental remediation costs are presented in the table below (in millions):</w:t>
      </w:r>
    </w:p>
    <w:p>
      <w:pPr>
        <w:spacing w:after="0" w:line="12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8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8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99"/>
              </w:rPr>
              <w:t>Landfill</w:t>
            </w:r>
          </w:p>
        </w:tc>
        <w:tc>
          <w:tcPr>
            <w:tcW w:w="1080" w:type="dxa"/>
            <w:vAlign w:val="bottom"/>
            <w:gridSpan w:val="3"/>
          </w:tcPr>
          <w:p>
            <w:pPr>
              <w:ind w:left="140"/>
              <w:spacing w:after="0" w:line="118" w:lineRule="exact"/>
              <w:rPr>
                <w:sz w:val="20"/>
                <w:szCs w:val="20"/>
                <w:color w:val="auto"/>
              </w:rPr>
            </w:pPr>
            <w:r>
              <w:rPr>
                <w:rFonts w:ascii="Times New Roman" w:cs="Times New Roman" w:eastAsia="Times New Roman" w:hAnsi="Times New Roman"/>
                <w:sz w:val="13"/>
                <w:szCs w:val="13"/>
                <w:b w:val="1"/>
                <w:bCs w:val="1"/>
                <w:color w:val="auto"/>
              </w:rPr>
              <w:t>Environmental</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99"/>
              </w:rPr>
              <w:t>Landfill</w:t>
            </w:r>
          </w:p>
        </w:tc>
        <w:tc>
          <w:tcPr>
            <w:tcW w:w="1240" w:type="dxa"/>
            <w:vAlign w:val="bottom"/>
            <w:gridSpan w:val="4"/>
          </w:tcPr>
          <w:p>
            <w:pPr>
              <w:ind w:left="160"/>
              <w:spacing w:after="0" w:line="118" w:lineRule="exact"/>
              <w:rPr>
                <w:sz w:val="20"/>
                <w:szCs w:val="20"/>
                <w:color w:val="auto"/>
              </w:rPr>
            </w:pPr>
            <w:r>
              <w:rPr>
                <w:rFonts w:ascii="Times New Roman" w:cs="Times New Roman" w:eastAsia="Times New Roman" w:hAnsi="Times New Roman"/>
                <w:sz w:val="13"/>
                <w:szCs w:val="13"/>
                <w:b w:val="1"/>
                <w:bCs w:val="1"/>
                <w:color w:val="auto"/>
              </w:rPr>
              <w:t>Environmental</w:t>
            </w:r>
          </w:p>
        </w:tc>
        <w:tc>
          <w:tcPr>
            <w:tcW w:w="140" w:type="dxa"/>
            <w:vAlign w:val="bottom"/>
          </w:tcPr>
          <w:p>
            <w:pPr>
              <w:spacing w:after="0"/>
              <w:rPr>
                <w:sz w:val="10"/>
                <w:szCs w:val="10"/>
                <w:color w:val="auto"/>
              </w:rPr>
            </w:pPr>
          </w:p>
        </w:tc>
        <w:tc>
          <w:tcPr>
            <w:tcW w:w="56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8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Remediation</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Remediation</w:t>
            </w:r>
          </w:p>
        </w:tc>
        <w:tc>
          <w:tcPr>
            <w:tcW w:w="1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 accrued liabilities)</w:t>
            </w: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16"/>
        </w:trPr>
        <w:tc>
          <w:tcPr>
            <w:tcW w:w="2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Long-term</w:t>
            </w:r>
          </w:p>
        </w:tc>
        <w:tc>
          <w:tcPr>
            <w:tcW w:w="6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2,936</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0" w:type="dxa"/>
            <w:vAlign w:val="bottom"/>
          </w:tcPr>
          <w:p>
            <w:pPr>
              <w:spacing w:after="0"/>
              <w:rPr>
                <w:sz w:val="1"/>
                <w:szCs w:val="1"/>
                <w:color w:val="auto"/>
              </w:rPr>
            </w:pPr>
          </w:p>
        </w:tc>
      </w:tr>
      <w:tr>
        <w:trPr>
          <w:trHeight w:val="209"/>
        </w:trPr>
        <w:tc>
          <w:tcPr>
            <w:tcW w:w="28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1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changes to landfill and environmental remediation liabilities for the six months ended June 30, 2024 are reflected in the table below (in millions):</w:t>
      </w:r>
    </w:p>
    <w:tbl>
      <w:tblPr>
        <w:tblLayout w:type="fixed"/>
        <w:tblInd w:w="60" w:type="dxa"/>
        <w:tblCellMar>
          <w:top w:w="0" w:type="dxa"/>
          <w:left w:w="0" w:type="dxa"/>
          <w:bottom w:w="0" w:type="dxa"/>
          <w:right w:w="0" w:type="dxa"/>
        </w:tblCellMar>
      </w:tblPr>
      <w:tr>
        <w:trPr>
          <w:trHeight w:val="137"/>
        </w:trPr>
        <w:tc>
          <w:tcPr>
            <w:tcW w:w="6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Landfill</w:t>
            </w:r>
          </w:p>
        </w:tc>
        <w:tc>
          <w:tcPr>
            <w:tcW w:w="180" w:type="dxa"/>
            <w:vAlign w:val="bottom"/>
          </w:tcPr>
          <w:p>
            <w:pPr>
              <w:spacing w:after="0"/>
              <w:rPr>
                <w:sz w:val="11"/>
                <w:szCs w:val="11"/>
                <w:color w:val="auto"/>
              </w:rPr>
            </w:pPr>
          </w:p>
        </w:tc>
        <w:tc>
          <w:tcPr>
            <w:tcW w:w="940" w:type="dxa"/>
            <w:vAlign w:val="bottom"/>
            <w:gridSpan w:val="2"/>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Environmental</w:t>
            </w:r>
          </w:p>
        </w:tc>
        <w:tc>
          <w:tcPr>
            <w:tcW w:w="0" w:type="dxa"/>
            <w:vAlign w:val="bottom"/>
          </w:tcPr>
          <w:p>
            <w:pPr>
              <w:spacing w:after="0"/>
              <w:rPr>
                <w:sz w:val="1"/>
                <w:szCs w:val="1"/>
                <w:color w:val="auto"/>
              </w:rPr>
            </w:pPr>
          </w:p>
        </w:tc>
      </w:tr>
      <w:tr>
        <w:trPr>
          <w:trHeight w:val="173"/>
        </w:trPr>
        <w:tc>
          <w:tcPr>
            <w:tcW w:w="69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Remediation</w:t>
            </w:r>
          </w:p>
        </w:tc>
        <w:tc>
          <w:tcPr>
            <w:tcW w:w="0" w:type="dxa"/>
            <w:vAlign w:val="bottom"/>
          </w:tcPr>
          <w:p>
            <w:pPr>
              <w:spacing w:after="0"/>
              <w:rPr>
                <w:sz w:val="1"/>
                <w:szCs w:val="1"/>
                <w:color w:val="auto"/>
              </w:rPr>
            </w:pPr>
          </w:p>
        </w:tc>
      </w:tr>
      <w:tr>
        <w:trPr>
          <w:trHeight w:val="209"/>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16"/>
        </w:trPr>
        <w:tc>
          <w:tcPr>
            <w:tcW w:w="6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Obligations incurred and capitalized</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Obligations settled</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6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accretion</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Revisions in estimates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69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Acquisitions, divestitures and other adjustments</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At several of our landfills, we provide financial assurance by depositing cash into restricted trust funds for purposes of settling final capping, closure, post-closure and environmental remediation obligations. Generally, these trust funds are established to comply with statutory requirements and operating agreements. See Note 13 for additional information related to these trusts.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5" w:lineRule="exact"/>
        <w:rPr>
          <w:sz w:val="20"/>
          <w:szCs w:val="20"/>
          <w:color w:val="auto"/>
        </w:rPr>
      </w:pPr>
    </w:p>
    <w:p>
      <w:pPr>
        <w:ind w:left="360" w:hanging="310"/>
        <w:spacing w:after="0"/>
        <w:tabs>
          <w:tab w:leader="none" w:pos="3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29"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major components of debt at principal amounts as of each balance sheet date (in millions) and provides the maturities and interest rate ranges of each major category as of June 30, 2024:</w:t>
      </w:r>
    </w:p>
    <w:p>
      <w:pPr>
        <w:spacing w:after="0" w:line="4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240" w:type="dxa"/>
            <w:vAlign w:val="bottom"/>
            <w:tcBorders>
              <w:bottom w:val="single" w:sz="8" w:color="CCEEFF"/>
            </w:tcBorders>
          </w:tcPr>
          <w:p>
            <w:pPr>
              <w:spacing w:after="0"/>
              <w:rPr>
                <w:sz w:val="15"/>
                <w:szCs w:val="15"/>
                <w:color w:val="auto"/>
              </w:rPr>
            </w:pPr>
          </w:p>
        </w:tc>
        <w:tc>
          <w:tcPr>
            <w:tcW w:w="47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8"/>
        </w:trPr>
        <w:tc>
          <w:tcPr>
            <w:tcW w:w="6980" w:type="dxa"/>
            <w:vAlign w:val="bottom"/>
            <w:gridSpan w:val="2"/>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Commercial paper program (weighted average interest rate of 5.5% as of June 30, 2024 and</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234"/>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5.6% as of December 31, 2023)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r>
      <w:tr>
        <w:trPr>
          <w:trHeight w:val="198"/>
        </w:trPr>
        <w:tc>
          <w:tcPr>
            <w:tcW w:w="698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Senior notes, maturing through 2050, interest rates ranging from 0.75% to 7.75% (weighted</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34"/>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average interest rate of 3.7% as of June 30, 2024 and December 31, 2023)</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11,220</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11,376</w:t>
            </w:r>
          </w:p>
        </w:tc>
      </w:tr>
      <w:tr>
        <w:trPr>
          <w:trHeight w:val="216"/>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Canadian senior notes, C$500 million maturing September 2026, interest rate of 2.6%</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198"/>
        </w:trPr>
        <w:tc>
          <w:tcPr>
            <w:tcW w:w="698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Tax-exempt bonds, maturing through 2053, fixed and variable interest rates ranging from</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6"/>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0.55% to 5.0% (weighted average interest rate of 3.3% as of June 30, 2024 and</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4"/>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2,883</w:t>
            </w:r>
          </w:p>
        </w:tc>
      </w:tr>
      <w:tr>
        <w:trPr>
          <w:trHeight w:val="198"/>
        </w:trPr>
        <w:tc>
          <w:tcPr>
            <w:tcW w:w="698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Financing leases and other, maturing through 2082 (weighted average interest rate of 5.0% as</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34"/>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June 30, 2024 and December 31, 2023) (a)</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r>
      <w:tr>
        <w:trPr>
          <w:trHeight w:val="216"/>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Debt issuance costs, discounts and other</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(117)</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10"/>
        </w:trPr>
        <w:tc>
          <w:tcPr>
            <w:tcW w:w="2240" w:type="dxa"/>
            <w:vAlign w:val="bottom"/>
            <w:tcBorders>
              <w:top w:val="single" w:sz="8" w:color="CCEEFF"/>
            </w:tcBorders>
            <w:shd w:val="clear" w:color="auto" w:fill="CCEEFF"/>
          </w:tcPr>
          <w:p>
            <w:pPr>
              <w:spacing w:after="0"/>
              <w:rPr>
                <w:sz w:val="18"/>
                <w:szCs w:val="18"/>
                <w:color w:val="auto"/>
              </w:rPr>
            </w:pPr>
          </w:p>
        </w:tc>
        <w:tc>
          <w:tcPr>
            <w:tcW w:w="4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16,743</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16,229</w:t>
            </w:r>
          </w:p>
        </w:tc>
      </w:tr>
      <w:tr>
        <w:trPr>
          <w:trHeight w:val="216"/>
        </w:trPr>
        <w:tc>
          <w:tcPr>
            <w:tcW w:w="6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09"/>
        </w:trPr>
        <w:tc>
          <w:tcPr>
            <w:tcW w:w="6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16,501</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15,895</w:t>
            </w:r>
          </w:p>
        </w:tc>
      </w:tr>
      <w:tr>
        <w:trPr>
          <w:trHeight w:val="20"/>
        </w:trPr>
        <w:tc>
          <w:tcPr>
            <w:tcW w:w="22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4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r>
    </w:tbl>
    <w:p>
      <w:pPr>
        <w:spacing w:after="0" w:line="76" w:lineRule="exact"/>
        <w:rPr>
          <w:sz w:val="20"/>
          <w:szCs w:val="20"/>
          <w:color w:val="auto"/>
        </w:rPr>
      </w:pPr>
    </w:p>
    <w:p>
      <w:pPr>
        <w:ind w:left="380" w:right="79" w:hanging="330"/>
        <w:spacing w:after="0" w:line="282"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Excluding our landfill financing leases, the maturities of our financing leases and other debt obligations extend through 2059.</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Debt Classification</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As of June 30, 2024, we had approximately $3.8 billion of debt maturing within the next 12 months, including (i) $1.6 billion of short-term borrowings under our commercial paper program (net of related discount on issuance); (ii) $1.6 billion of tax-exempt bonds with term interest rate periods that expire within the next 12 months, which is prior to their scheduled maturities; (iii) $422 million of 3.125% senior notes that mature in March 2025 and (iv) $167 million of other debt with scheduled maturities within the next 12 months, including $30 million of tax-exempt bonds. As of June 30, 2024, we have classified $3.6 billion of debt maturing in the next 12 months as long-term because we have the intent and ability to refinance these borrowings on a long-term basis as supported by the forecasted available capacity under our $3.5 billion long-term U.S. and Canadian revolving credit facility (“$3.5 billion revolving credit facility”) and our issuance of $1.5 billion of senior notes in July 2024, the proceeds of which were used primarily to reduce outstanding borrowings under our commercial paper program. The remaining $242 million of debt maturing in the next 12 months is classified as current obligations.</w:t>
      </w:r>
    </w:p>
    <w:p>
      <w:pPr>
        <w:spacing w:after="0" w:line="1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Access to and Utilization of Credit Facilities and Commercial Paper Program</w:t>
      </w:r>
    </w:p>
    <w:p>
      <w:pPr>
        <w:spacing w:after="0" w:line="227"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$3.5 Billion Revolving Credit Facility — </w:t>
      </w:r>
      <w:r>
        <w:rPr>
          <w:rFonts w:ascii="Times New Roman" w:cs="Times New Roman" w:eastAsia="Times New Roman" w:hAnsi="Times New Roman"/>
          <w:sz w:val="18"/>
          <w:szCs w:val="18"/>
          <w:color w:val="auto"/>
        </w:rPr>
        <w:t>In May 2024, we amended and restated our $3.5 billion U.S. and Canadian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revolving credit facility, extending the term through May 2029. The agreement includes a $1.0 billion accordion feature that may be used to increase total capacity in future periods, and we have the option to request up to two one-year extensions. Waste Management of Canada Corporation and WM Quebec Inc., each an indirect wholly-owned subsidiary of WMI, are borrowers under the $3.5 billion revolving credit facility, and the agreement permits borrowing in Canadian dollars up to the U.S. dollar equivalent of $375 million, with such borrowings to be repaid in Canadian dollars. WM</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Holdings, a wholly-owned subsidiary of WMI, guarantees all the obligations under the $3.5 billion revolving credit facility.</w:t>
      </w:r>
    </w:p>
    <w:p>
      <w:pPr>
        <w:spacing w:after="0" w:line="162"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$3.5 billion revolving credit facility provides us with credit capacity to be used for cash borrowings, to support letters of credit and to support our commercial paper program. The interest rates we pay on outstanding U.S. or Canadian loans are based on the Secured Overnight Financing Rate (“SOFR”) administered by the Federal Reserve Bank of New York or the Canadian Overnight Repo Rate Average (“CORRA”) administered by the Bank of Canada, respectively, plus a spread depending on our senior public debt rating assigned by Moody’s Investors Service, Inc. and Standard and Poor’s Global Ratings. The spread above SOFR or CORRA can range from 0.585% to 1.025% per annum, plus applicable credit adjustments. We also pay certain other fees set forth in the $3.5 billion revolving credit facility agreement, including a facility fee based on the aggregate commitment, regardless of usage. As of June 30, 2024, we had no outstanding borrowings under this facility. We had $180 million of letters of credit issued and $1.6 billion of outstanding borrowings (net of related discount on issuance) under our commercial paper program, both supported by the facility, leaving unused and available credit capacity of $1.7 billion as of June 30, 2024.</w:t>
      </w:r>
    </w:p>
    <w:p>
      <w:pPr>
        <w:spacing w:after="0" w:line="190"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Commercial Paper Program </w:t>
      </w:r>
      <w:r>
        <w:rPr>
          <w:rFonts w:ascii="Times New Roman" w:cs="Times New Roman" w:eastAsia="Times New Roman" w:hAnsi="Times New Roman"/>
          <w:sz w:val="18"/>
          <w:szCs w:val="18"/>
          <w:color w:val="auto"/>
        </w:rPr>
        <w:t>— We have a commercial paper program that enables us to borrow funds for up to 397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days at competitive interest rates. The rates we pay for outstanding borrowings are based on the term of the notes. The commercial paper program is fully supported by our $3.5 billion revolving credit facility. As of June 30, 2024, we had $1.6 billion of outstanding borrowings (net of related discount on issuance) under our commercial paper program. In July 2024, we issued $1.5 billion of new senior notes and used the proceeds primarily to repay outstanding commercial paper borrowings.</w:t>
      </w:r>
    </w:p>
    <w:p>
      <w:pPr>
        <w:spacing w:after="0" w:line="182"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Letter of Credit Lines — </w:t>
      </w:r>
      <w:r>
        <w:rPr>
          <w:rFonts w:ascii="Times New Roman" w:cs="Times New Roman" w:eastAsia="Times New Roman" w:hAnsi="Times New Roman"/>
          <w:sz w:val="18"/>
          <w:szCs w:val="18"/>
          <w:color w:val="auto"/>
        </w:rPr>
        <w:t>As of June 30, 2024, we had utilized $846 million of other uncommitted letter of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lines with terms maturing through December 2027.</w:t>
      </w:r>
    </w:p>
    <w:p>
      <w:pPr>
        <w:spacing w:after="0" w:line="1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Debt Borrowings and Repayments</w:t>
      </w:r>
    </w:p>
    <w:p>
      <w:pPr>
        <w:spacing w:after="0" w:line="227"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Commercial Paper Program </w:t>
      </w:r>
      <w:r>
        <w:rPr>
          <w:rFonts w:ascii="Times New Roman" w:cs="Times New Roman" w:eastAsia="Times New Roman" w:hAnsi="Times New Roman"/>
          <w:sz w:val="18"/>
          <w:szCs w:val="18"/>
          <w:color w:val="auto"/>
        </w:rPr>
        <w:t>— During the six months ended June 30, 2024, we made cash repayments of $8.5 billion,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were more than offset by $9.2 billion of cash borrowings (net of related discount on issuance).</w:t>
      </w:r>
    </w:p>
    <w:p>
      <w:pPr>
        <w:spacing w:after="0" w:line="158" w:lineRule="exact"/>
        <w:rPr>
          <w:sz w:val="20"/>
          <w:szCs w:val="20"/>
          <w:color w:val="auto"/>
        </w:rPr>
      </w:pPr>
    </w:p>
    <w:p>
      <w:pPr>
        <w:jc w:val="both"/>
        <w:ind w:left="60" w:right="7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Senior Notes </w:t>
      </w:r>
      <w:r>
        <w:rPr>
          <w:rFonts w:ascii="Times New Roman" w:cs="Times New Roman" w:eastAsia="Times New Roman" w:hAnsi="Times New Roman"/>
          <w:sz w:val="18"/>
          <w:szCs w:val="18"/>
          <w:color w:val="auto"/>
        </w:rPr>
        <w:t>— During the six months ended June 30, 2024, we repaid $156 million of WMI’s 3.5% senior notes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maturity in May 2024.</w:t>
      </w:r>
    </w:p>
    <w:p>
      <w:pPr>
        <w:spacing w:after="0" w:line="156" w:lineRule="exact"/>
        <w:rPr>
          <w:sz w:val="20"/>
          <w:szCs w:val="20"/>
          <w:color w:val="auto"/>
        </w:rPr>
      </w:pPr>
    </w:p>
    <w:p>
      <w:pPr>
        <w:ind w:left="360" w:hanging="310"/>
        <w:spacing w:after="0"/>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Our effective income tax rate was 23.9% and 21.3% for the three and six months ended June 30, 2024, respectively, compared with 24.2% and 23.9% for the three and six months ended June 30, 2023, respectively. The decrease in our effective income tax rate when comparing the three and six months ended June 30, 2024 and 2023 was primarily driven by an increase in federal tax credits; partially offset by (i) the impacts of adopting Accounting Standards Update (“ASU”) 2023-02 and (ii) an increase in pre-tax income in the current period. We evaluate our effective income tax rate at each interim period and adjust it as facts and circumstances warrant.</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Investments Qualifying for Federal Tax Credits</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Renewable Natural Gas </w:t>
      </w:r>
      <w:r>
        <w:rPr>
          <w:rFonts w:ascii="Times New Roman" w:cs="Times New Roman" w:eastAsia="Times New Roman" w:hAnsi="Times New Roman"/>
          <w:sz w:val="18"/>
          <w:szCs w:val="18"/>
          <w:color w:val="auto"/>
        </w:rPr>
        <w:t>— Through our subsidiaries, including our WM Renewable Energy segment, we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invested in building landfill gas-to-energy facilities in the U.S. and Canada that produce renewable electricity and RNG. We expect our new RNG facilities to qualify for federal tax credits and to realize those credits through 2027 under Sections 48 and 45Z of the Internal Revenue Code.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2024, we recognized a reduction in our income tax expense of $37 million and $74 million, respectively, due to federal tax credits expected to be realized from our RNG investments compared with $2 million and $4 million, respectively, for the comparable prior year periods.</w:t>
      </w:r>
    </w:p>
    <w:p>
      <w:pPr>
        <w:spacing w:after="0" w:line="174"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Low-Income Housing </w:t>
      </w:r>
      <w:r>
        <w:rPr>
          <w:rFonts w:ascii="Times New Roman" w:cs="Times New Roman" w:eastAsia="Times New Roman" w:hAnsi="Times New Roman"/>
          <w:sz w:val="18"/>
          <w:szCs w:val="18"/>
          <w:color w:val="auto"/>
        </w:rPr>
        <w:t>— We have significant financial interests in entities established to invest in and manage low-income housing properties. We support the operations of these entities in exchange for a pro-rata share of the tax credits they generate. The low-income housing investments qualify for federal tax credits that we expect to realize through 2035 under Section 42 or Section 45D of the Internal Revenue Code.</w:t>
      </w:r>
    </w:p>
    <w:p>
      <w:pPr>
        <w:spacing w:after="0" w:line="182"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As a result of adopting ASU 2023-02, we amortize our investments in these entities using the proportional amortization method. Under the proportional amortization method, the equity investment is amortized in proportion to the income tax credits and other income tax benefits received. The amortization expense and the income tax credits are required to be presented on a net basis in income tax expense on the Condensed Consolidated Statements of Operations. Prior to fiscal year 2024, we accounted for our investments in these entities using the equity method of accounting, recognizing our share of each entity’s results of operations and other reductions in the value of our investments in equity in net income (losses) of unconsolidated entities, within our Condensed Consolidated Statements of Operations.</w:t>
      </w:r>
    </w:p>
    <w:p>
      <w:pPr>
        <w:spacing w:after="0" w:line="18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During the three and six months ended June 30, 2024, we recognized additional income tax expense of $37 million related to amortization under ASU 2023-02 and a reduction in our income tax expense primarily due to federal tax credits of $22 million and $50 million, respectively. In addition, during the three and six months ended June 30, 2024, we recognized interest expense of $5 million and $11 million, respectively, associated with our investments in low-income housing properties. See Note 13 for additional information related to these unconsolidated variable interest entities.</w:t>
      </w:r>
    </w:p>
    <w:p>
      <w:pPr>
        <w:spacing w:after="0" w:line="183"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During the three and six months ended June 30, 2023, we recognized $12 million and $25 million of net losses, respectively, and a reduction in our income tax expense of $26 million and $48 million, respectively, primarily due to federal tax credits realized from these investments as well as the tax benefits from the pre-tax losses realized. In addition, during the three and six months ended June 30, 2023, we recognized interest expense of $3 million and $7 million, respectively, associated with our investments in low-income housing properties. See Note 13 for additional information related to these unconsolidated variable interest entities.</w:t>
      </w:r>
    </w:p>
    <w:p>
      <w:pPr>
        <w:spacing w:after="0" w:line="183" w:lineRule="exact"/>
        <w:rPr>
          <w:sz w:val="20"/>
          <w:szCs w:val="20"/>
          <w:color w:val="auto"/>
        </w:rPr>
      </w:pPr>
    </w:p>
    <w:p>
      <w:pPr>
        <w:ind w:left="360" w:hanging="310"/>
        <w:spacing w:after="0"/>
        <w:tabs>
          <w:tab w:leader="none" w:pos="3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and diluted earnings per share were computed using the following common share data (shares in millions):</w:t>
      </w:r>
    </w:p>
    <w:p>
      <w:pPr>
        <w:spacing w:after="0" w:line="11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156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5900" w:type="dxa"/>
            <w:vAlign w:val="bottom"/>
          </w:tcPr>
          <w:p>
            <w:pPr>
              <w:spacing w:after="0"/>
              <w:rPr>
                <w:sz w:val="15"/>
                <w:szCs w:val="15"/>
                <w:color w:val="auto"/>
              </w:rPr>
            </w:pPr>
          </w:p>
        </w:tc>
        <w:tc>
          <w:tcPr>
            <w:tcW w:w="940" w:type="dxa"/>
            <w:vAlign w:val="bottom"/>
            <w:tcBorders>
              <w:bottom w:val="single" w:sz="8" w:color="auto"/>
            </w:tcBorders>
            <w:gridSpan w:val="3"/>
          </w:tcPr>
          <w:p>
            <w:pPr>
              <w:jc w:val="center"/>
              <w:ind w:left="33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Borders>
              <w:bottom w:val="single" w:sz="8" w:color="auto"/>
            </w:tcBorders>
            <w:gridSpan w:val="3"/>
          </w:tcPr>
          <w:p>
            <w:pPr>
              <w:jc w:val="center"/>
              <w:ind w:left="35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90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common shares outstanding at end of period</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404.9</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404.9</w:t>
            </w:r>
          </w:p>
        </w:tc>
        <w:tc>
          <w:tcPr>
            <w:tcW w:w="0" w:type="dxa"/>
            <w:vAlign w:val="bottom"/>
          </w:tcPr>
          <w:p>
            <w:pPr>
              <w:spacing w:after="0"/>
              <w:rPr>
                <w:sz w:val="1"/>
                <w:szCs w:val="1"/>
                <w:color w:val="auto"/>
              </w:rPr>
            </w:pPr>
          </w:p>
        </w:tc>
      </w:tr>
      <w:tr>
        <w:trPr>
          <w:trHeight w:val="216"/>
        </w:trPr>
        <w:tc>
          <w:tcPr>
            <w:tcW w:w="59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Effect of using weighted average common shares outstanding</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basic common shares outstanding</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405.9</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407.4</w:t>
            </w:r>
          </w:p>
        </w:tc>
        <w:tc>
          <w:tcPr>
            <w:tcW w:w="0" w:type="dxa"/>
            <w:vAlign w:val="bottom"/>
          </w:tcPr>
          <w:p>
            <w:pPr>
              <w:spacing w:after="0"/>
              <w:rPr>
                <w:sz w:val="1"/>
                <w:szCs w:val="1"/>
                <w:color w:val="auto"/>
              </w:rPr>
            </w:pPr>
          </w:p>
        </w:tc>
      </w:tr>
      <w:tr>
        <w:trPr>
          <w:trHeight w:val="198"/>
        </w:trPr>
        <w:tc>
          <w:tcPr>
            <w:tcW w:w="59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Dilutive effect of equity-based compensation awards and other contingently</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issuable shares</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9"/>
        </w:trPr>
        <w:tc>
          <w:tcPr>
            <w:tcW w:w="5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diluted common shares outstanding</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403.2</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407.7</w:t>
            </w:r>
          </w:p>
        </w:tc>
        <w:tc>
          <w:tcPr>
            <w:tcW w:w="1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403.3</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409.1</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Potentially issuable shares</w:t>
            </w:r>
          </w:p>
        </w:tc>
        <w:tc>
          <w:tcPr>
            <w:tcW w:w="6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00" w:type="dxa"/>
            <w:vAlign w:val="bottom"/>
            <w:vMerge w:val="continue"/>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1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160" w:type="dxa"/>
            <w:vAlign w:val="bottom"/>
            <w:vMerge w:val="continue"/>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1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98"/>
        </w:trPr>
        <w:tc>
          <w:tcPr>
            <w:tcW w:w="5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Number of anti-dilutive potentially issuable shares excluded from diluted</w:t>
            </w: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 outstanding</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Refer to the Condensed Consolidated Statements of Operations for net income attributable to Waste Management,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5" w:lineRule="exact"/>
        <w:rPr>
          <w:sz w:val="20"/>
          <w:szCs w:val="20"/>
          <w:color w:val="auto"/>
        </w:rPr>
      </w:pPr>
    </w:p>
    <w:p>
      <w:pPr>
        <w:ind w:left="360" w:hanging="310"/>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Financial Instruments — </w:t>
      </w:r>
      <w:r>
        <w:rPr>
          <w:rFonts w:ascii="Times New Roman" w:cs="Times New Roman" w:eastAsia="Times New Roman" w:hAnsi="Times New Roman"/>
          <w:sz w:val="18"/>
          <w:szCs w:val="18"/>
          <w:color w:val="auto"/>
        </w:rPr>
        <w:t>We have obtained letters of credit, surety bonds and insurance policies and have established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trust funds and issued financial guarantees to support tax-exempt bonds, contracts, performance of landfill final capping, closure and post-closure requirements, environmental remediation and other obligations. Letters of credit generally are supported by our $3.5 billion revolving credit facility and other credit lines established for that purpose. These facilities are discussed further in Note 3. Surety bonds and insurance policies are supported by (i) a diverse group of third-party surety and insurance companies; (ii) an entity in which we have a noncontrolling financial interest or (iii) a wholly-owned insurance captive, the sole business of which is to issue surety bonds and/or insurance policies on our behalf.</w:t>
      </w:r>
    </w:p>
    <w:p>
      <w:pPr>
        <w:spacing w:after="0" w:line="185" w:lineRule="exact"/>
        <w:rPr>
          <w:sz w:val="20"/>
          <w:szCs w:val="20"/>
          <w:color w:val="auto"/>
        </w:rPr>
      </w:pPr>
    </w:p>
    <w:p>
      <w:pPr>
        <w:jc w:val="both"/>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Management does not expect that any claims against or draws on these instruments would have a material adverse effect on our financial condition, results of operations or cash flows. We have not experienced any unmanageable difficulty in obtaining the required financial assurance instruments for our current operations. In an ongoing effort to mitigate risks of future cost increases and reductions in available capacity, we continue to evaluate various options to access cost-effective sources of financial assurance.</w:t>
      </w:r>
    </w:p>
    <w:p>
      <w:pPr>
        <w:spacing w:after="0" w:line="181"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Insurance — </w:t>
      </w:r>
      <w:r>
        <w:rPr>
          <w:rFonts w:ascii="Times New Roman" w:cs="Times New Roman" w:eastAsia="Times New Roman" w:hAnsi="Times New Roman"/>
          <w:sz w:val="18"/>
          <w:szCs w:val="18"/>
          <w:color w:val="auto"/>
        </w:rPr>
        <w:t>We carry insurance coverage for protection of our assets and operations from certain risks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 liability, automobile liability, workers’ compensation, real and personal property, directors’ and officers’ liability, pollution legal liability, cyber incident liability and other coverages we believe are customary to the industry. Our exposure to loss for insurance claims is generally limited to the per-incident deductible under the related insurance policy and any amounts that exceed our insured limits. Our exposure could increase if our insurers are unable to meet their commitments on a timely basis.</w:t>
      </w:r>
    </w:p>
    <w:p>
      <w:pPr>
        <w:spacing w:after="0" w:line="184"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We have retained a significant portion of the risks related to our health and welfare, general liability, automobile liability and workers’ compensation claims programs. “General liability” refers to the self-insured portion of specific third-party claims made against us that may be covered under our commercial general liability insurance policy. For our self-insured portions, the exposure for unpaid claims and associated expenses, including incurred but not reported losses, is based on an actuarial valuation or internal estimates. The accruals for these liabilities could be revised if future occurrences or loss development significantly differ from such valuations and estimates. We use a wholly-owned insurance captive to insure the deductibles for our general liability, automobile liability and workers’ compensation claims programs.</w:t>
      </w:r>
    </w:p>
    <w:p>
      <w:pPr>
        <w:spacing w:after="0" w:line="18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We do not expect the impact of any known casualty, property, environmental or other contingency to have a material impact on our financial condition, results of operations or cash flows.</w:t>
      </w:r>
    </w:p>
    <w:p>
      <w:pPr>
        <w:spacing w:after="0" w:line="16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Guarantees — </w:t>
      </w:r>
      <w:r>
        <w:rPr>
          <w:rFonts w:ascii="Times New Roman" w:cs="Times New Roman" w:eastAsia="Times New Roman" w:hAnsi="Times New Roman"/>
          <w:sz w:val="18"/>
          <w:szCs w:val="18"/>
          <w:color w:val="auto"/>
        </w:rPr>
        <w:t>In the ordinary course of our business, WMI and WM Holdings enter into guarantee agreements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their subsidiaries’ operations. Additionally, WMI and WM Holdings have each guaranteed all of the senior debt of the other entity. No additional liabilities have been recorded for these intercompany guarantees because all of the underlying obligations are reflected in our Condensed Consolidated Balance Sheets.</w:t>
      </w:r>
    </w:p>
    <w:p>
      <w:pPr>
        <w:spacing w:after="0" w:line="182"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As of June 30, 2024, we have guaranteed the obligations and certain performance requirements of third parties in connection with both consolidated and unconsolidated entities, including guarantees to cover the difference, if any, between the sale value and the guaranteed market or contractually-determined value of certain homeowner’s properties that are adjacent to or near 19 of our landfills. We have also agreed to indemnify certain third-party purchasers against liabilities associated with divested operations prior to such sale. We do not believe that the remaining contingent obligations will have a material adverse effect on the Company’s business, financial condition, results of operations or cash flows.</w:t>
      </w:r>
    </w:p>
    <w:p>
      <w:pPr>
        <w:spacing w:after="0" w:line="187"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Environmental Matters — </w:t>
      </w:r>
      <w:r>
        <w:rPr>
          <w:rFonts w:ascii="Times New Roman" w:cs="Times New Roman" w:eastAsia="Times New Roman" w:hAnsi="Times New Roman"/>
          <w:sz w:val="18"/>
          <w:szCs w:val="18"/>
          <w:color w:val="auto"/>
        </w:rPr>
        <w:t>A significant portion of our operating costs and capital expenditures could be characterized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costs of environmental protection. The nature of our operations, particularly with respect to the construction, operation and maintenance of our landfills, subjects us to an array of laws and regulations relating to the protection of the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environment. Under current laws and regulations, we may have liabilities for environmental damage caused by our operations, or for damage caused by conditions that existed before we acquired a site. In addition to remediation activity required by state or local authorities, such liabilities include potentially responsible party (“PRP”) investigations. The costs associated with these liabilities can include settlements, certain legal and consultant fees, as well as incremental internal and external costs directly associated with site investigation and clean-up.</w:t>
      </w:r>
    </w:p>
    <w:p>
      <w:pPr>
        <w:spacing w:after="0" w:line="183"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Estimating our degree of responsibility for remediation is inherently difficult. We recognize and accrue for an estimated remediation liability when we determine that such liability is both probable and reasonably estimable. Determining the method and ultimate cost of remediation requires that a number of assumptions be made. There can sometimes be a range of reasonable estimates of the costs associated with the likely site remediation alternatives identified in the environmental impact investigation. In these cases, we use the amount within the range that is our best estimate. If no amount within a range appears to be a better estimate than any other, we use the amount that is the low end of such range. If we used the high ends of such ranges (where estimable), our aggregate potential liability would be approximately $18 million higher than the $208 million recorded in the Condensed Consolidated Balance Sheet as of June 30, 2024. Our ultimate responsibility may differ materially from current estimates. It is possible that technological, regulatory or enforcement developments, the results of environmental studies, the inability to identify other PRPs, the inability of other PRPs to contribute to the settlements of such liabilities, or other factors could require us to record additional liabilities. Our ongoing review of our remediation liabilities, in light of relevant internal and external facts and circumstances, could result in revisions to our accruals that could cause upward or downward adjustments to our balance sheet and income from operations. These adjustments could be material in any given period.</w:t>
      </w:r>
    </w:p>
    <w:p>
      <w:pPr>
        <w:spacing w:after="0" w:line="19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As of June 30, 2024, we had been notified by the government that we are a PRP in connection with 73 locations listed on the Environmental Protection Agency’s (“EPA’s”) Superfund National Priorities List, or NPL. Of the 73 sites at which claims have been made against us, 14 are sites we own. Each of the NPL sites we own was initially developed by others as a landfill disposal facility. At each of these facilities, we are working in conjunction with the government to characterize or remediate identified site problems, and we have either agreed with other legally liable parties on an arrangement for sharing the costs of remediation or are working toward a cost-sharing agreement. We generally expect to receive any amounts due from other participating parties at or near the time that we make the remedial expenditures. The other 59 NPL sites, which we do not own, are at various procedural stages under the Comprehensive Environmental Response, Compensation and Liability Act of 1980, as amended, known as CERCLA or Superfund.</w:t>
      </w:r>
    </w:p>
    <w:p>
      <w:pPr>
        <w:spacing w:after="0" w:line="188"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majority of proceedings involving NPL sites that we do not own are based on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 generators and other waste transportation and disposal companies and seek to allocate or recover costs associated with site investigation and remediation, which costs could be substantial and could have a material adverse effect on our consolidated financial statements. At some of the sites at which we have been identified as a PRP, our liability is well defined as a consequence of a governmental decision and an agreement among liable parties as to the share each will pay for implementing that remedy. At other sites, where no remedy has been selected or the liable parties have been unable to agree on an appropriate allocation, our future costs are uncertain.</w:t>
      </w:r>
    </w:p>
    <w:p>
      <w:pPr>
        <w:spacing w:after="0" w:line="194"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 2018, both of McGinnes Industrial Maintenance Corporation (“MIMC”), a subsidiary of Waste Management of Texas, Inc., and International Paper Company (“IPC”) entered into an Administrative Order on Consent with the EPA as PRPs to develop a remedial design for the San Jacinto River Waste Pits Superfund Site in Harris County, Texas. We recorded a liability for MIMC’s estimated potential share of the EPA’s proposed remedy and related costs, although allocation of responsibility among the PRPs for the proposed remedy has not been established. MIMC and IPC have continued to work on a remedial design to support the EPA’s proposed remedy; however, in the first quarter of 2024, the EPA publicly issued a letter alleging that the remedial design has serious deficiencies. MIMC and IPC subsequently engaged with the EPA and provided responses to the EPA letter. In the second quarter of 2024, the EPA provided a</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response that, while the parties had not remedied all concerns from its letter, the parties had sufficiently demonstrated a path forward and were given additional time to submit a full remedial design. As of June 30, 2024 and December 31, 2023, the recorded liability for MIMC’s estimated potential share of costs for the remedy was approximately $85 million. MIMC’s ultimate liability could be materially different from current estimates, including potential increases resulting from MIMC’s continued engagement with the EPA regarding a final remedial design for the site.</w:t>
      </w:r>
    </w:p>
    <w:p>
      <w:pPr>
        <w:spacing w:after="0" w:line="183"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Item 103 of the SEC’s Regulation S-K requires disclosure of certain environmental matters when a governmental authority is a party to the proceedings, or such proceedings are known to be contemplated, unless we reasonably believe that the matter will result in no monetary sanctions, or in monetary sanctions, exclusive of interest and costs, below a stated threshold. In accordance with this SEC regulation, the Company uses a threshold of $1 million for purposes of determining whether disclosure of any such environmental proceedings is required. As of the date of this filing, we are not aware of any matters that are required to be disclosed pursuant to this standard.</w:t>
      </w:r>
    </w:p>
    <w:p>
      <w:pPr>
        <w:spacing w:after="0" w:line="18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From time to time, we are also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of allegedly affected sites and health care examinations of allegedly affected persons for a substantial period of time even where no actual damage is 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Additionally, we often enter into agreements with landowners imposing obligations on us to meet certain regulatory or contractual conditions upon site closure or upon termination of the agreements. Compliance with these agreements inherently involves subjective determinations and may result in disputes, including litigation.</w:t>
      </w:r>
    </w:p>
    <w:p>
      <w:pPr>
        <w:spacing w:after="0" w:line="185"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Litigation — </w:t>
      </w:r>
      <w:r>
        <w:rPr>
          <w:rFonts w:ascii="Times New Roman" w:cs="Times New Roman" w:eastAsia="Times New Roman" w:hAnsi="Times New Roman"/>
          <w:sz w:val="18"/>
          <w:szCs w:val="18"/>
          <w:color w:val="auto"/>
        </w:rPr>
        <w:t>We are subject to various proceedings, lawsuits, disputes and claims arising in the ordinary course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Many of these actions raise complex factual and legal issues and are subject to uncertainties. Actions that have been filed against us, and that may be filed against us in the future, include personal injury, property damage, commercial, customer, and employment-related claims, including purported state and national class action lawsuits related to: alleged environmental contamination, including releases of hazardous material and odors; sales and marketing practices, customer service agreements and prices and fees; and federal and state wage and hour and other laws. The plaintiffs in some actions seek unspecified damages or injunctive relief, or both. These actions are in various procedural stages, and some are covered, in part, by insurance. We currently do not believe that the eventual outcome of any such actions will have a material adverse effect on the Company’s business, financial condition, results of operations or cash flows.</w:t>
      </w:r>
    </w:p>
    <w:p>
      <w:pPr>
        <w:spacing w:after="0" w:line="190"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In June 2022, we and certain of our officers were named as defendants in a complaint alleging violation of the federal securities laws and seeking certification as a class action in the U.S. District Court for the Southern District of New York. A lead plaintiff has been appointed and an amended complaint was filed in January 2023. The amended complaint seeks damages on behalf of a putative class of secondary market purchasers of our senior notes with a special mandatory redemption feature issued in May 2019, asserting claims under the Securities Exchange Act based on alleged misrepresentations and omissions concerning the time for completion of our acquisition of Advanced Disposal. The case is currently in the discovery phase, and we intend to vigorously defend against this pending suit. We believe any potential recovery by the plaintiffs, in excess of applicable deductibles, will be covered by insurance, and we do not believe that the eventual outcome of this suit will have a material adverse effect on the Company’s business, financial condition, results of operations or cash flows.</w:t>
      </w:r>
    </w:p>
    <w:p>
      <w:pPr>
        <w:spacing w:after="0" w:line="194"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WMI’s charter and bylaws provide that WMI shall indemnify against all liabilities and expenses, and upon request shall advance expenses to any person, who is subject to a pending or threatened proceeding because such person is or was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 director or officer of the Company. Such indemnification is required to the maximum extent permitted under Delaware law. Accordingly, the director or officer must execute an undertaking to reimburse the Company for any fees advanced if it is later determined that the director or officer was not permitted to have such fees advanced under Delaware law. Additionally, the Company has direct contractual obligations to provide indemnification to each of the members of WMI’s Board of Directors and each of WMI’s executive officers. The Company may incur substantial expenses in connection with the fulfillment of its advancement of costs and indemnification obligations in connection with actions or proceedings that may be brought against its former or current officers, directors and employees.</w:t>
      </w:r>
    </w:p>
    <w:p>
      <w:pPr>
        <w:spacing w:after="0" w:line="18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Multiemployer Defined Benefit Pension Plans — </w:t>
      </w:r>
      <w:r>
        <w:rPr>
          <w:rFonts w:ascii="Times New Roman" w:cs="Times New Roman" w:eastAsia="Times New Roman" w:hAnsi="Times New Roman"/>
          <w:sz w:val="18"/>
          <w:szCs w:val="18"/>
          <w:color w:val="auto"/>
        </w:rPr>
        <w:t>About 20% of our workforce is covered by collective bargaining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with various local unions across the U.S. and Canada. As a result of some of these agreements, certain of our subsidiaries are participating employers in a number of trustee-managed multiemployer defined benefit pension plans (“Multiemployer Pension Plans”) for the covered employees. A complete or partial withdrawal from a Multiemployer Pension Plan may also occur if employees covered by a collective bargaining agreement vote to decertify a union from continuing to represent them. Any other circumstance resulting in a decline in Company contributions to a Multiemployer Pension Plan through a reduction in the labor force, whether through attrition over time or through a business event (such as the discontinuation or nonrenewal of a customer contract, the decertification of a union, or relocation, reduction or discontinuance of certain operations) may also trigger a complete or partial withdrawal from one or more of these pension plans.</w:t>
      </w:r>
    </w:p>
    <w:p>
      <w:pPr>
        <w:spacing w:after="0" w:line="18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do not believe that any future liability relating to our past or current participation in, or withdrawals from, the Multiemployer Pension Plans to which we contribute will have a material adverse effect on our business, financial condition or liquidity. However, liability for future withdrawals could have a material adverse effect on our results of operations or cash flows for a particular reporting period, depending on the number of employees withdrawn and the financial condition of the Multiemployer Pension Plan(s) at the time of such withdrawal(s).</w:t>
      </w:r>
    </w:p>
    <w:p>
      <w:pPr>
        <w:spacing w:after="0" w:line="181"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Tax Matters — </w:t>
      </w:r>
      <w:r>
        <w:rPr>
          <w:rFonts w:ascii="Times New Roman" w:cs="Times New Roman" w:eastAsia="Times New Roman" w:hAnsi="Times New Roman"/>
          <w:sz w:val="18"/>
          <w:szCs w:val="18"/>
          <w:color w:val="auto"/>
        </w:rPr>
        <w:t>We participate in the IRS’s Compliance Assurance Process, which means we work with the IRS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throughout the year towards resolving any material issues prior to the filing of our annual tax return. Any unresolved issues as of the tax return filing date are subject to routine examination procedures. In the fourth quarter of 2022, the Company received a notice of tax due for the 2017 tax year related to a remaining disagreement with the IRS. In response to the notice, the Company made a deposit of approximately $103 million with the IRS. The Company expects to seek a refund of the entire amount deposited with the IRS and litigate any denial of the claim for refund. As of June 30, 2024 and December 31, 2023, the IRS deposit, net of reserve for uncertain tax positions, is classified as a component of other long-term assets in the Company’s Condensed Consolidated Balance Sheets.</w:t>
      </w:r>
    </w:p>
    <w:p>
      <w:pPr>
        <w:spacing w:after="0" w:line="187" w:lineRule="exact"/>
        <w:rPr>
          <w:sz w:val="20"/>
          <w:szCs w:val="20"/>
          <w:color w:val="auto"/>
        </w:rPr>
      </w:pPr>
    </w:p>
    <w:p>
      <w:pPr>
        <w:jc w:val="both"/>
        <w:ind w:left="60" w:right="59" w:firstLine="324"/>
        <w:spacing w:after="0" w:line="277" w:lineRule="auto"/>
        <w:rPr>
          <w:sz w:val="20"/>
          <w:szCs w:val="20"/>
          <w:color w:val="auto"/>
        </w:rPr>
      </w:pPr>
      <w:r>
        <w:rPr>
          <w:rFonts w:ascii="Times New Roman" w:cs="Times New Roman" w:eastAsia="Times New Roman" w:hAnsi="Times New Roman"/>
          <w:sz w:val="17"/>
          <w:szCs w:val="17"/>
          <w:color w:val="auto"/>
        </w:rPr>
        <w:t>In addition, we are in the examination phase of IRS audits for the 2023 and 2024 tax years and expect the audits to be completed within the next 18 months. We are also currently undergoing audits by the Canada Revenue Agency for the 2021 tax year and various state and local jurisdictions for tax years that date back to 2014. We maintain a liability for uncertain tax positions, the balance of which management believes is adequate. Results of audit assessments by taxing authorities are not currently expected to have a material adverse effect on our financial condition, results of operations or cash flows.</w:t>
      </w:r>
    </w:p>
    <w:p>
      <w:pPr>
        <w:spacing w:after="0" w:line="164" w:lineRule="exact"/>
        <w:rPr>
          <w:sz w:val="20"/>
          <w:szCs w:val="20"/>
          <w:color w:val="auto"/>
        </w:rPr>
      </w:pPr>
    </w:p>
    <w:p>
      <w:pPr>
        <w:ind w:left="360" w:hanging="310"/>
        <w:spacing w:after="0"/>
        <w:tabs>
          <w:tab w:leader="none" w:pos="3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and Related Information</w:t>
      </w:r>
    </w:p>
    <w:p>
      <w:pPr>
        <w:spacing w:after="0" w:line="229" w:lineRule="exact"/>
        <w:rPr>
          <w:sz w:val="20"/>
          <w:szCs w:val="20"/>
          <w:color w:val="auto"/>
        </w:rPr>
      </w:pPr>
    </w:p>
    <w:p>
      <w:pPr>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Our senior management evaluates, oversees and manages the financial performance of our business through four reportable segments, referred to as (i) East Tier; (ii) West Tier; (iii) Recycling Processing and Sales and</w:t>
      </w:r>
    </w:p>
    <w:p>
      <w:pPr>
        <w:jc w:val="both"/>
        <w:ind w:left="60" w:right="59" w:hanging="10"/>
        <w:spacing w:after="0" w:line="253" w:lineRule="auto"/>
        <w:tabs>
          <w:tab w:leader="none" w:pos="37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Renewable Energy. Our East and West Tier, along with Other Ancillary services not managed through our Tier segments, but that support our collection and disposal operations, form our “Collection and Disposal” businesses. We also provide additional services not managed through our four reportable segments, which are presented as Corporate and Other.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Summarized financial information concerning our reportable segments is shown in the following table (in millions):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Intercompany</w:t>
            </w:r>
          </w:p>
        </w:tc>
        <w:tc>
          <w:tcPr>
            <w:tcW w:w="140" w:type="dxa"/>
            <w:vAlign w:val="bottom"/>
          </w:tcPr>
          <w:p>
            <w:pPr>
              <w:spacing w:after="0"/>
              <w:rPr>
                <w:sz w:val="13"/>
                <w:szCs w:val="13"/>
                <w:color w:val="auto"/>
              </w:rPr>
            </w:pPr>
          </w:p>
        </w:tc>
        <w:tc>
          <w:tcPr>
            <w:tcW w:w="6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Net</w:t>
            </w:r>
          </w:p>
        </w:tc>
        <w:tc>
          <w:tcPr>
            <w:tcW w:w="140" w:type="dxa"/>
            <w:vAlign w:val="bottom"/>
          </w:tcPr>
          <w:p>
            <w:pPr>
              <w:spacing w:after="0"/>
              <w:rPr>
                <w:sz w:val="13"/>
                <w:szCs w:val="13"/>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0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8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4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8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Revenues(a)</w:t>
            </w:r>
          </w:p>
        </w:tc>
        <w:tc>
          <w:tcPr>
            <w:tcW w:w="8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Operations(b)</w:t>
            </w:r>
          </w:p>
        </w:tc>
        <w:tc>
          <w:tcPr>
            <w:tcW w:w="0" w:type="dxa"/>
            <w:vAlign w:val="bottom"/>
          </w:tcPr>
          <w:p>
            <w:pPr>
              <w:spacing w:after="0"/>
              <w:rPr>
                <w:sz w:val="1"/>
                <w:szCs w:val="1"/>
                <w:color w:val="auto"/>
              </w:rPr>
            </w:pPr>
          </w:p>
        </w:tc>
      </w:tr>
      <w:tr>
        <w:trPr>
          <w:trHeight w:val="169"/>
        </w:trPr>
        <w:tc>
          <w:tcPr>
            <w:tcW w:w="3360" w:type="dxa"/>
            <w:vAlign w:val="bottom"/>
            <w:tcBorders>
              <w:top w:val="single" w:sz="8" w:color="CCEEFF"/>
            </w:tcBorders>
            <w:gridSpan w:val="3"/>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0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auto"/>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Collection and Disposal:</w:t>
            </w: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East Tier</w:t>
            </w:r>
          </w:p>
        </w:tc>
        <w:tc>
          <w:tcPr>
            <w:tcW w:w="216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w:t>
            </w:r>
          </w:p>
        </w:tc>
        <w:tc>
          <w:tcPr>
            <w:tcW w:w="1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(573)</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w:t>
            </w:r>
          </w:p>
        </w:tc>
        <w:tc>
          <w:tcPr>
            <w:tcW w:w="1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West Tier</w:t>
            </w: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(540)</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 Ancillary</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3340" w:type="dxa"/>
            <w:vAlign w:val="bottom"/>
            <w:tcBorders>
              <w:top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Collection and Disposal</w:t>
            </w:r>
          </w:p>
        </w:tc>
        <w:tc>
          <w:tcPr>
            <w:tcW w:w="20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WM Renewable Energy</w:t>
            </w: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340" w:type="dxa"/>
            <w:vAlign w:val="bottom"/>
            <w:tcBorders>
              <w:top w:val="single" w:sz="8" w:color="CCEEFF"/>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20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Collection and Disposal:</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East Tier</w:t>
            </w:r>
          </w:p>
        </w:tc>
        <w:tc>
          <w:tcPr>
            <w:tcW w:w="2160" w:type="dxa"/>
            <w:vAlign w:val="bottom"/>
            <w:gridSpan w:val="2"/>
            <w:shd w:val="clear" w:color="auto" w:fill="CCEEFF"/>
          </w:tcPr>
          <w:p>
            <w:pPr>
              <w:ind w:left="206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West Tier</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(524)</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Ancillary</w:t>
            </w: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Collection and Disposal</w:t>
            </w:r>
          </w:p>
        </w:tc>
        <w:tc>
          <w:tcPr>
            <w:tcW w:w="20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5,857</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4,734</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WM Renewable Energy</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204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6,328</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5,119</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40" w:type="dxa"/>
            <w:vAlign w:val="bottom"/>
            <w:vMerge w:val="restart"/>
          </w:tcPr>
          <w:p>
            <w:pPr>
              <w:jc w:val="right"/>
              <w:ind w:right="75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57" w:right="1440"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Intercompany</w:t>
            </w:r>
          </w:p>
        </w:tc>
        <w:tc>
          <w:tcPr>
            <w:tcW w:w="120" w:type="dxa"/>
            <w:vAlign w:val="bottom"/>
          </w:tcPr>
          <w:p>
            <w:pPr>
              <w:spacing w:after="0"/>
              <w:rPr>
                <w:sz w:val="13"/>
                <w:szCs w:val="13"/>
                <w:color w:val="auto"/>
              </w:rPr>
            </w:pP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Net</w:t>
            </w:r>
          </w:p>
        </w:tc>
        <w:tc>
          <w:tcPr>
            <w:tcW w:w="140" w:type="dxa"/>
            <w:vAlign w:val="bottom"/>
          </w:tcPr>
          <w:p>
            <w:pPr>
              <w:spacing w:after="0"/>
              <w:rPr>
                <w:sz w:val="13"/>
                <w:szCs w:val="13"/>
                <w:color w:val="auto"/>
              </w:rPr>
            </w:pPr>
          </w:p>
        </w:tc>
        <w:tc>
          <w:tcPr>
            <w:tcW w:w="74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Income</w:t>
            </w:r>
          </w:p>
        </w:tc>
      </w:tr>
      <w:tr>
        <w:trPr>
          <w:trHeight w:val="148"/>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84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0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84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40" w:type="dxa"/>
            <w:vAlign w:val="bottom"/>
          </w:tcPr>
          <w:p>
            <w:pPr>
              <w:spacing w:after="0"/>
              <w:rPr>
                <w:sz w:val="12"/>
                <w:szCs w:val="12"/>
                <w:color w:val="auto"/>
              </w:rPr>
            </w:pPr>
          </w:p>
        </w:tc>
        <w:tc>
          <w:tcPr>
            <w:tcW w:w="740" w:type="dxa"/>
            <w:vAlign w:val="bottom"/>
          </w:tcPr>
          <w:p>
            <w:pPr>
              <w:jc w:val="right"/>
              <w:ind w:right="192"/>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r>
      <w:tr>
        <w:trPr>
          <w:trHeight w:val="173"/>
        </w:trPr>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8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Revenues(a)</w:t>
            </w:r>
          </w:p>
        </w:tc>
        <w:tc>
          <w:tcPr>
            <w:tcW w:w="8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Operations(b)</w:t>
            </w:r>
          </w:p>
        </w:tc>
      </w:tr>
      <w:tr>
        <w:trPr>
          <w:trHeight w:val="156"/>
        </w:trPr>
        <w:tc>
          <w:tcPr>
            <w:tcW w:w="5320" w:type="dxa"/>
            <w:vAlign w:val="bottom"/>
            <w:tcBorders>
              <w:top w:val="single" w:sz="8" w:color="CCEEFF"/>
            </w:tcBorders>
            <w:gridSpan w:val="4"/>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2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53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Collection and Disposal:</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East Tier</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5,367</w:t>
            </w:r>
          </w:p>
        </w:tc>
        <w:tc>
          <w:tcPr>
            <w:tcW w:w="1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(1,108)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4,259</w:t>
            </w:r>
          </w:p>
        </w:tc>
        <w:tc>
          <w:tcPr>
            <w:tcW w:w="1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w:t>
            </w:r>
          </w:p>
        </w:tc>
      </w:tr>
      <w:tr>
        <w:trPr>
          <w:trHeight w:val="216"/>
        </w:trPr>
        <w:tc>
          <w:tcPr>
            <w:tcW w:w="20" w:type="dxa"/>
            <w:vAlign w:val="bottom"/>
            <w:shd w:val="clear" w:color="auto" w:fill="CCEEFF"/>
          </w:tcPr>
          <w:p>
            <w:pPr>
              <w:spacing w:after="0"/>
              <w:rPr>
                <w:sz w:val="18"/>
                <w:szCs w:val="18"/>
                <w:color w:val="auto"/>
              </w:rPr>
            </w:pPr>
          </w:p>
        </w:tc>
        <w:tc>
          <w:tcPr>
            <w:tcW w:w="53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West Tier</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(1,044)</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r>
      <w:tr>
        <w:trPr>
          <w:trHeight w:val="216"/>
        </w:trPr>
        <w:tc>
          <w:tcPr>
            <w:tcW w:w="20" w:type="dxa"/>
            <w:vAlign w:val="bottom"/>
          </w:tcPr>
          <w:p>
            <w:pPr>
              <w:spacing w:after="0"/>
              <w:rPr>
                <w:sz w:val="18"/>
                <w:szCs w:val="18"/>
                <w:color w:val="auto"/>
              </w:rPr>
            </w:pPr>
          </w:p>
        </w:tc>
        <w:tc>
          <w:tcPr>
            <w:tcW w:w="53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Other Ancillary</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5300" w:type="dxa"/>
            <w:vAlign w:val="bottom"/>
            <w:tcBorders>
              <w:top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Collection and Disposal</w:t>
            </w: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w:t>
            </w:r>
          </w:p>
        </w:tc>
      </w:tr>
      <w:tr>
        <w:trPr>
          <w:trHeight w:val="216"/>
        </w:trPr>
        <w:tc>
          <w:tcPr>
            <w:tcW w:w="53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53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WM Renewable Energy</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53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09"/>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5300" w:type="dxa"/>
            <w:vAlign w:val="bottom"/>
            <w:tcBorders>
              <w:top w:val="single" w:sz="8" w:color="CCEEFF"/>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6"/>
        </w:trPr>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53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Collection and Disposal:</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53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East Tier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(1,066)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r>
      <w:tr>
        <w:trPr>
          <w:trHeight w:val="216"/>
        </w:trPr>
        <w:tc>
          <w:tcPr>
            <w:tcW w:w="20" w:type="dxa"/>
            <w:vAlign w:val="bottom"/>
          </w:tcPr>
          <w:p>
            <w:pPr>
              <w:spacing w:after="0"/>
              <w:rPr>
                <w:sz w:val="18"/>
                <w:szCs w:val="18"/>
                <w:color w:val="auto"/>
              </w:rPr>
            </w:pPr>
          </w:p>
        </w:tc>
        <w:tc>
          <w:tcPr>
            <w:tcW w:w="53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West Tier</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(1,019)</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w:t>
            </w:r>
          </w:p>
        </w:tc>
      </w:tr>
      <w:tr>
        <w:trPr>
          <w:trHeight w:val="216"/>
        </w:trPr>
        <w:tc>
          <w:tcPr>
            <w:tcW w:w="20" w:type="dxa"/>
            <w:vAlign w:val="bottom"/>
            <w:shd w:val="clear" w:color="auto" w:fill="CCEEFF"/>
          </w:tcPr>
          <w:p>
            <w:pPr>
              <w:spacing w:after="0"/>
              <w:rPr>
                <w:sz w:val="18"/>
                <w:szCs w:val="18"/>
                <w:color w:val="auto"/>
              </w:rPr>
            </w:pPr>
          </w:p>
        </w:tc>
        <w:tc>
          <w:tcPr>
            <w:tcW w:w="53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Ancillary</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20" w:type="dxa"/>
            <w:vAlign w:val="bottom"/>
          </w:tcPr>
          <w:p>
            <w:pPr>
              <w:spacing w:after="0"/>
              <w:rPr>
                <w:sz w:val="18"/>
                <w:szCs w:val="18"/>
                <w:color w:val="auto"/>
              </w:rPr>
            </w:pPr>
          </w:p>
        </w:tc>
        <w:tc>
          <w:tcPr>
            <w:tcW w:w="53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Collection and Disposal</w:t>
            </w: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11,435</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(2,178)</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9,257</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2,237</w:t>
            </w:r>
          </w:p>
        </w:tc>
      </w:tr>
      <w:tr>
        <w:trPr>
          <w:trHeight w:val="216"/>
        </w:trPr>
        <w:tc>
          <w:tcPr>
            <w:tcW w:w="53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53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WM Renewable Energy</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53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r>
      <w:tr>
        <w:trPr>
          <w:trHeight w:val="210"/>
        </w:trPr>
        <w:tc>
          <w:tcPr>
            <w:tcW w:w="20" w:type="dxa"/>
            <w:vAlign w:val="bottom"/>
          </w:tcPr>
          <w:p>
            <w:pPr>
              <w:spacing w:after="0"/>
              <w:rPr>
                <w:sz w:val="18"/>
                <w:szCs w:val="18"/>
                <w:color w:val="auto"/>
              </w:rPr>
            </w:pPr>
          </w:p>
        </w:tc>
        <w:tc>
          <w:tcPr>
            <w:tcW w:w="53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12,362</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10,011</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1,769</w:t>
            </w: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1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r>
    </w:tbl>
    <w:p>
      <w:pPr>
        <w:spacing w:after="0" w:line="76" w:lineRule="exact"/>
        <w:rPr>
          <w:sz w:val="20"/>
          <w:szCs w:val="20"/>
          <w:color w:val="auto"/>
        </w:rPr>
      </w:pPr>
    </w:p>
    <w:p>
      <w:pPr>
        <w:jc w:val="both"/>
        <w:ind w:left="380" w:right="79" w:hanging="330"/>
        <w:spacing w:after="0" w:line="266"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operating revenues reflect each segment’s total intercompany sales, including intercompany sales within a segment and between segments. Transactions within and between segments are generally made on a basis intended to reflect the market value of the service.</w:t>
      </w:r>
    </w:p>
    <w:p>
      <w:pPr>
        <w:spacing w:after="0" w:line="67"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those items included in the determination of income from operations, the accounting policies of the segments are the same as those described in Note 1.</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mix of operating revenues from our major lines of business are as follows (in millions):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Intercompany</w:t>
            </w:r>
          </w:p>
        </w:tc>
        <w:tc>
          <w:tcPr>
            <w:tcW w:w="160" w:type="dxa"/>
            <w:vAlign w:val="bottom"/>
          </w:tcPr>
          <w:p>
            <w:pPr>
              <w:spacing w:after="0"/>
              <w:rPr>
                <w:sz w:val="13"/>
                <w:szCs w:val="13"/>
                <w:color w:val="auto"/>
              </w:rPr>
            </w:pPr>
          </w:p>
        </w:tc>
        <w:tc>
          <w:tcPr>
            <w:tcW w:w="5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90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0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70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9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Revenues (a)</w:t>
            </w: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155"/>
        </w:trPr>
        <w:tc>
          <w:tcPr>
            <w:tcW w:w="3380" w:type="dxa"/>
            <w:vAlign w:val="bottom"/>
            <w:tcBorders>
              <w:top w:val="single" w:sz="8" w:color="CCEEFF"/>
            </w:tcBorders>
            <w:gridSpan w:val="3"/>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9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auto"/>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3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(199)</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2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collection</w:t>
            </w:r>
          </w:p>
        </w:tc>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3360" w:type="dxa"/>
            <w:vAlign w:val="bottom"/>
            <w:tcBorders>
              <w:top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collection</w:t>
            </w:r>
          </w:p>
        </w:tc>
        <w:tc>
          <w:tcPr>
            <w:tcW w:w="29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Landfill</w:t>
            </w:r>
          </w:p>
        </w:tc>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(418)</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w:t>
            </w:r>
          </w:p>
        </w:tc>
        <w:tc>
          <w:tcPr>
            <w:tcW w:w="2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(270)</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29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6,080</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2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WM Renewable Energy</w:t>
            </w:r>
          </w:p>
        </w:tc>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2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Borders>
              <w:bottom w:val="single" w:sz="8" w:color="CCEEFF"/>
            </w:tcBorders>
          </w:tcPr>
          <w:p>
            <w:pPr>
              <w:spacing w:after="0"/>
              <w:rPr>
                <w:sz w:val="21"/>
                <w:szCs w:val="21"/>
                <w:color w:val="auto"/>
              </w:rPr>
            </w:pPr>
          </w:p>
        </w:tc>
        <w:tc>
          <w:tcPr>
            <w:tcW w:w="336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9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6,637</w:t>
            </w: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16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3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(192)</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2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collection</w:t>
            </w:r>
          </w:p>
        </w:tc>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3360" w:type="dxa"/>
            <w:vAlign w:val="bottom"/>
            <w:tcBorders>
              <w:top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collection</w:t>
            </w:r>
          </w:p>
        </w:tc>
        <w:tc>
          <w:tcPr>
            <w:tcW w:w="29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Landfill</w:t>
            </w:r>
          </w:p>
        </w:tc>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(417)</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w:t>
            </w:r>
          </w:p>
        </w:tc>
        <w:tc>
          <w:tcPr>
            <w:tcW w:w="2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(265)</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29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5,857</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2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WM Renewable Energy</w:t>
            </w:r>
          </w:p>
        </w:tc>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2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9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6,328</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900" w:type="dxa"/>
            <w:vAlign w:val="bottom"/>
            <w:vMerge w:val="restart"/>
          </w:tcPr>
          <w:p>
            <w:pPr>
              <w:jc w:val="right"/>
              <w:ind w:right="163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57" w:right="1440"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Intercompany</w:t>
            </w:r>
          </w:p>
        </w:tc>
        <w:tc>
          <w:tcPr>
            <w:tcW w:w="140" w:type="dxa"/>
            <w:vAlign w:val="bottom"/>
          </w:tcPr>
          <w:p>
            <w:pPr>
              <w:spacing w:after="0"/>
              <w:rPr>
                <w:sz w:val="13"/>
                <w:szCs w:val="13"/>
                <w:color w:val="auto"/>
              </w:rPr>
            </w:pPr>
          </w:p>
        </w:tc>
        <w:tc>
          <w:tcPr>
            <w:tcW w:w="580" w:type="dxa"/>
            <w:vAlign w:val="bottom"/>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148"/>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88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2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7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r>
      <w:tr>
        <w:trPr>
          <w:trHeight w:val="173"/>
        </w:trPr>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8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20" w:type="dxa"/>
            <w:vAlign w:val="bottom"/>
          </w:tcPr>
          <w:p>
            <w:pPr>
              <w:spacing w:after="0"/>
              <w:rPr>
                <w:sz w:val="15"/>
                <w:szCs w:val="15"/>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r>
      <w:tr>
        <w:trPr>
          <w:trHeight w:val="156"/>
        </w:trPr>
        <w:tc>
          <w:tcPr>
            <w:tcW w:w="6280" w:type="dxa"/>
            <w:vAlign w:val="bottom"/>
            <w:tcBorders>
              <w:top w:val="single" w:sz="8" w:color="CCEEFF"/>
            </w:tcBorders>
            <w:gridSpan w:val="3"/>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4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auto"/>
            </w:tcBorders>
            <w:shd w:val="clear" w:color="auto" w:fill="CCEEFF"/>
          </w:tcPr>
          <w:p>
            <w:pPr>
              <w:spacing w:after="0" w:line="20" w:lineRule="exact"/>
              <w:rPr>
                <w:sz w:val="1"/>
                <w:szCs w:val="1"/>
                <w:color w:val="auto"/>
              </w:rPr>
            </w:pPr>
          </w:p>
        </w:tc>
        <w:tc>
          <w:tcPr>
            <w:tcW w:w="4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6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w:t>
            </w:r>
          </w:p>
        </w:tc>
      </w:tr>
      <w:tr>
        <w:trPr>
          <w:trHeight w:val="216"/>
        </w:trPr>
        <w:tc>
          <w:tcPr>
            <w:tcW w:w="6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(386)</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w:t>
            </w:r>
          </w:p>
        </w:tc>
      </w:tr>
      <w:tr>
        <w:trPr>
          <w:trHeight w:val="216"/>
        </w:trPr>
        <w:tc>
          <w:tcPr>
            <w:tcW w:w="6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w:t>
            </w:r>
          </w:p>
        </w:tc>
      </w:tr>
      <w:tr>
        <w:trPr>
          <w:trHeight w:val="216"/>
        </w:trPr>
        <w:tc>
          <w:tcPr>
            <w:tcW w:w="6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collection</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6260" w:type="dxa"/>
            <w:vAlign w:val="bottom"/>
            <w:tcBorders>
              <w:top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collection</w:t>
            </w: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7,316</w:t>
            </w:r>
          </w:p>
        </w:tc>
      </w:tr>
      <w:tr>
        <w:trPr>
          <w:trHeight w:val="216"/>
        </w:trPr>
        <w:tc>
          <w:tcPr>
            <w:tcW w:w="6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Landfill</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(803)</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w:t>
            </w:r>
          </w:p>
        </w:tc>
      </w:tr>
      <w:tr>
        <w:trPr>
          <w:trHeight w:val="216"/>
        </w:trPr>
        <w:tc>
          <w:tcPr>
            <w:tcW w:w="6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(521)</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r>
      <w:tr>
        <w:trPr>
          <w:trHeight w:val="209"/>
        </w:trPr>
        <w:tc>
          <w:tcPr>
            <w:tcW w:w="20" w:type="dxa"/>
            <w:vAlign w:val="bottom"/>
          </w:tcPr>
          <w:p>
            <w:pPr>
              <w:spacing w:after="0"/>
              <w:rPr>
                <w:sz w:val="18"/>
                <w:szCs w:val="18"/>
                <w:color w:val="auto"/>
              </w:rPr>
            </w:pPr>
          </w:p>
        </w:tc>
        <w:tc>
          <w:tcPr>
            <w:tcW w:w="62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11,879</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9,638</w:t>
            </w:r>
          </w:p>
        </w:tc>
      </w:tr>
      <w:tr>
        <w:trPr>
          <w:trHeight w:val="216"/>
        </w:trPr>
        <w:tc>
          <w:tcPr>
            <w:tcW w:w="6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(138)</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r>
      <w:tr>
        <w:trPr>
          <w:trHeight w:val="216"/>
        </w:trPr>
        <w:tc>
          <w:tcPr>
            <w:tcW w:w="6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WM Renewable Energy</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6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49"/>
        </w:trPr>
        <w:tc>
          <w:tcPr>
            <w:tcW w:w="20" w:type="dxa"/>
            <w:vAlign w:val="bottom"/>
            <w:tcBorders>
              <w:bottom w:val="single" w:sz="8" w:color="CCEEFF"/>
            </w:tcBorders>
          </w:tcPr>
          <w:p>
            <w:pPr>
              <w:spacing w:after="0"/>
              <w:rPr>
                <w:sz w:val="21"/>
                <w:szCs w:val="21"/>
                <w:color w:val="auto"/>
              </w:rPr>
            </w:pPr>
          </w:p>
        </w:tc>
        <w:tc>
          <w:tcPr>
            <w:tcW w:w="626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12,954</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1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10,561</w:t>
            </w:r>
          </w:p>
        </w:tc>
      </w:tr>
      <w:tr>
        <w:trPr>
          <w:trHeight w:val="197"/>
        </w:trPr>
        <w:tc>
          <w:tcPr>
            <w:tcW w:w="2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4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16"/>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6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w:t>
            </w:r>
          </w:p>
        </w:tc>
      </w:tr>
      <w:tr>
        <w:trPr>
          <w:trHeight w:val="216"/>
        </w:trPr>
        <w:tc>
          <w:tcPr>
            <w:tcW w:w="6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(369)</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w:t>
            </w:r>
          </w:p>
        </w:tc>
      </w:tr>
      <w:tr>
        <w:trPr>
          <w:trHeight w:val="216"/>
        </w:trPr>
        <w:tc>
          <w:tcPr>
            <w:tcW w:w="6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r>
      <w:tr>
        <w:trPr>
          <w:trHeight w:val="216"/>
        </w:trPr>
        <w:tc>
          <w:tcPr>
            <w:tcW w:w="6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collection</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6260" w:type="dxa"/>
            <w:vAlign w:val="bottom"/>
            <w:tcBorders>
              <w:top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collection</w:t>
            </w: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7,043</w:t>
            </w:r>
          </w:p>
        </w:tc>
      </w:tr>
      <w:tr>
        <w:trPr>
          <w:trHeight w:val="216"/>
        </w:trPr>
        <w:tc>
          <w:tcPr>
            <w:tcW w:w="6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Landfill</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(808)</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w:t>
            </w:r>
          </w:p>
        </w:tc>
      </w:tr>
      <w:tr>
        <w:trPr>
          <w:trHeight w:val="216"/>
        </w:trPr>
        <w:tc>
          <w:tcPr>
            <w:tcW w:w="6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(516)</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r>
      <w:tr>
        <w:trPr>
          <w:trHeight w:val="210"/>
        </w:trPr>
        <w:tc>
          <w:tcPr>
            <w:tcW w:w="20" w:type="dxa"/>
            <w:vAlign w:val="bottom"/>
          </w:tcPr>
          <w:p>
            <w:pPr>
              <w:spacing w:after="0"/>
              <w:rPr>
                <w:sz w:val="18"/>
                <w:szCs w:val="18"/>
                <w:color w:val="auto"/>
              </w:rPr>
            </w:pPr>
          </w:p>
        </w:tc>
        <w:tc>
          <w:tcPr>
            <w:tcW w:w="62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11,435</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(2,178)</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9,257</w:t>
            </w:r>
          </w:p>
        </w:tc>
      </w:tr>
      <w:tr>
        <w:trPr>
          <w:trHeight w:val="216"/>
        </w:trPr>
        <w:tc>
          <w:tcPr>
            <w:tcW w:w="6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(158)</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r>
      <w:tr>
        <w:trPr>
          <w:trHeight w:val="216"/>
        </w:trPr>
        <w:tc>
          <w:tcPr>
            <w:tcW w:w="6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WM Renewable Energy</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6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0"/>
        </w:trPr>
        <w:tc>
          <w:tcPr>
            <w:tcW w:w="20" w:type="dxa"/>
            <w:vAlign w:val="bottom"/>
          </w:tcPr>
          <w:p>
            <w:pPr>
              <w:spacing w:after="0"/>
              <w:rPr>
                <w:sz w:val="18"/>
                <w:szCs w:val="18"/>
                <w:color w:val="auto"/>
              </w:rPr>
            </w:pPr>
          </w:p>
        </w:tc>
        <w:tc>
          <w:tcPr>
            <w:tcW w:w="62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12,362</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10,011</w:t>
            </w: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Our financial and operating results may fluctuate for many reasons, including period-to-period changes in the relative contribution of revenue by each line of business, changes in commodity prices and general economic conditions. Our operating revenues and volumes typically experience seasonal increases in the summer months that are reflected in second and third quarter revenues and results of operations.</w:t>
      </w:r>
    </w:p>
    <w:p>
      <w:pPr>
        <w:spacing w:after="0" w:line="18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Service or operational disruptions caused by severe storms, extended periods of inclement weather or climate events can significantly affect the operating results of the geographic areas affected. Extreme weather events may also lead to supply chain disruption and delayed project development, or disruption of our customers’ businesses, reducing the amount of waste generated by their operations.</w:t>
      </w:r>
    </w:p>
    <w:p>
      <w:pPr>
        <w:spacing w:after="0" w:line="18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Conversely, certain destructive weather and climate conditions, such as wildfires in the Western U.S. and hurricanes that most often impact our operations in the Southern and Eastern U.S. during the second half of the year, can increase our revenues in the geographic areas affected as a result of the waste volumes generated by these events. While weather-related and other event-driven special projects can boost revenues through additional work for a limited time, due to significant start-up costs and other factors, such revenue can generate earnings at comparatively lower margins.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5" w:lineRule="exact"/>
        <w:rPr>
          <w:sz w:val="20"/>
          <w:szCs w:val="20"/>
          <w:color w:val="auto"/>
        </w:rPr>
      </w:pPr>
    </w:p>
    <w:p>
      <w:pPr>
        <w:ind w:left="420" w:hanging="370"/>
        <w:spacing w:after="0"/>
        <w:tabs>
          <w:tab w:leader="none" w:pos="4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2024, we completed solid waste and recycling acquisitions primarily in Florida, North Carolina, and Arizona with total consideration of $240 million, which included $234 million in cash paid and $6 million of other consideration, specifically purchase price holdbacks. In addition, we paid $16 million of holdbacks, primarily related to prior year acquisitions.</w:t>
      </w:r>
    </w:p>
    <w:p>
      <w:pPr>
        <w:spacing w:after="0" w:line="18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Total consideration for our 2024 acquisitions was primarily allocated to $57 million of property and equipment, $57 million of other intangible assets, primarily customer relationships, and $127 million of goodwill. We remain in the measurement period for most of our acquisitions, and adjustments to our preliminary purchase price allocation may occur. The goodwill was primarily a result of expected synergies from combining the acquired businesses with our existing operations and substantially all was tax deductible.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Pending Acquisition of Stericycle</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On June 3, 2024, we entered into an Agreement and Plan of Merger (the “Merger Agreement”) to acquire all outstanding shares of Stericycle for $62.00 per share in cash, representing a total enterprise value of approximately $7.2 billion when including approximately $1.4 billion of Stericycle’s net debt. Stericycle is a U.S. based leading provider of compliance-based solutions for regulated waste, including medical waste, and secure information destruction. Stericycle serves customers in North America and Europe.</w:t>
      </w:r>
    </w:p>
    <w:p>
      <w:pPr>
        <w:spacing w:after="0" w:line="183"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expect the Stericycle acquisition to close as early as the fourth quarter of 2024, and we intend to finance the Stericycle acquisition through a combination of bank debt and proceeds from the issuance of senior notes. See Part II. Item 1A. Risk Factors in this Quarterly Report on Form 10-Q for information about certain risks and uncertainties related to the Stericycle acquisition.</w:t>
      </w:r>
    </w:p>
    <w:p>
      <w:pPr>
        <w:spacing w:after="0" w:line="176" w:lineRule="exact"/>
        <w:rPr>
          <w:sz w:val="20"/>
          <w:szCs w:val="20"/>
          <w:color w:val="auto"/>
        </w:rPr>
      </w:pPr>
    </w:p>
    <w:p>
      <w:pPr>
        <w:ind w:left="360" w:hanging="310"/>
        <w:spacing w:after="0"/>
        <w:tabs>
          <w:tab w:leader="none" w:pos="3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(Gain) Loss from Divestitures, Asset Impairments and Unusual Items, Net</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(Gain) loss from divestitures, asset impairments and unusual items, net for the three and six months ended June 30, 2024 primarily relates to a $54 million charge required to increase the estimated fair value of a liability associated with the expected disposition of an investment the Company holds in a waste diversion technology business. This charge is reflected in our Corporate and Other measures within our segment reporting. (Gain) loss from divestitures, asset impairments and unusual items, net for the three and six months ended June 30, 2023 were not material.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Accumulated Other Comprehensive (Loss) Income</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changes in the balances of each component of accumulated other comprehensive (loss) income, net of tax, which is included as a component of Waste Management, Inc. stockholders’ equity, are as follows (in millions, with amounts in parentheses representing decreases to accumulated other comprehensive income):</w:t>
      </w:r>
    </w:p>
    <w:p>
      <w:pPr>
        <w:spacing w:after="0" w:line="8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Available-</w:t>
            </w:r>
          </w:p>
        </w:tc>
        <w:tc>
          <w:tcPr>
            <w:tcW w:w="100" w:type="dxa"/>
            <w:vAlign w:val="bottom"/>
          </w:tcPr>
          <w:p>
            <w:pPr>
              <w:spacing w:after="0"/>
              <w:rPr>
                <w:sz w:val="13"/>
                <w:szCs w:val="13"/>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20" w:type="dxa"/>
            <w:vAlign w:val="bottom"/>
          </w:tcPr>
          <w:p>
            <w:pPr>
              <w:spacing w:after="0"/>
              <w:rPr>
                <w:sz w:val="13"/>
                <w:szCs w:val="13"/>
                <w:color w:val="auto"/>
              </w:rPr>
            </w:pP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Post-</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8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2500" w:type="dxa"/>
            <w:vAlign w:val="bottom"/>
            <w:gridSpan w:val="9"/>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Derivative   for-Sale   Translation</w:t>
            </w:r>
          </w:p>
        </w:tc>
        <w:tc>
          <w:tcPr>
            <w:tcW w:w="120" w:type="dxa"/>
            <w:vAlign w:val="bottom"/>
          </w:tcPr>
          <w:p>
            <w:pPr>
              <w:spacing w:after="0"/>
              <w:rPr>
                <w:sz w:val="12"/>
                <w:szCs w:val="12"/>
                <w:color w:val="auto"/>
              </w:rPr>
            </w:pPr>
          </w:p>
        </w:tc>
        <w:tc>
          <w:tcPr>
            <w:tcW w:w="7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Benefit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080" w:type="dxa"/>
            <w:vAlign w:val="bottom"/>
          </w:tcPr>
          <w:p>
            <w:pPr>
              <w:spacing w:after="0"/>
              <w:rPr>
                <w:sz w:val="15"/>
                <w:szCs w:val="15"/>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(37)</w:t>
            </w:r>
          </w:p>
        </w:tc>
        <w:tc>
          <w:tcPr>
            <w:tcW w:w="0" w:type="dxa"/>
            <w:vAlign w:val="bottom"/>
          </w:tcPr>
          <w:p>
            <w:pPr>
              <w:spacing w:after="0"/>
              <w:rPr>
                <w:sz w:val="1"/>
                <w:szCs w:val="1"/>
                <w:color w:val="auto"/>
              </w:rPr>
            </w:pPr>
          </w:p>
        </w:tc>
      </w:tr>
      <w:tr>
        <w:trPr>
          <w:trHeight w:val="198"/>
        </w:trPr>
        <w:tc>
          <w:tcPr>
            <w:tcW w:w="508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Other comprehensive income (loss) before reclassifications, net of</w:t>
            </w: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 expense (benefit) of $0, $0, $0 and $0, respectively</w:t>
            </w:r>
          </w:p>
        </w:tc>
        <w:tc>
          <w:tcPr>
            <w:tcW w:w="300" w:type="dxa"/>
            <w:vAlign w:val="bottom"/>
          </w:tcPr>
          <w:p>
            <w:pPr>
              <w:spacing w:after="0"/>
              <w:rPr>
                <w:sz w:val="20"/>
                <w:szCs w:val="20"/>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98"/>
        </w:trPr>
        <w:tc>
          <w:tcPr>
            <w:tcW w:w="508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loss, net of tax (expense) benefit of $0, $0, $0 and $0,</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respectively</w:t>
            </w:r>
          </w:p>
        </w:tc>
        <w:tc>
          <w:tcPr>
            <w:tcW w:w="3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9"/>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3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9"/>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2024</w:t>
            </w:r>
          </w:p>
        </w:tc>
        <w:tc>
          <w:tcPr>
            <w:tcW w:w="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(73)</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Common Stock Repurchase Program</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Company repurchases shares of its common stock as part of capital allocation programs authorized by our Board of Directors.</w:t>
      </w:r>
    </w:p>
    <w:p>
      <w:pPr>
        <w:spacing w:after="0" w:line="16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In February 2024, we repurchased 0.2 million shares of our common stock through an October 2023 Accelerated Share Repurchase (“ASR”) agreement that completed in February 2024, based on a final weighted average price of $175.29. Also in February 2024, we entered into an ASR agreement to repurchase $250 million of our common stock. At the beginning of the repurchase period, we delivered $250 million cash and initially received 1 million shares based on a stock price of $199.16, exclusive of the applicable 1% excise tax. The ASR agreement completed in April 2024 and we received 0.2 million additional shares based on a final weighted average price of $206.23.</w:t>
      </w:r>
    </w:p>
    <w:p>
      <w:pPr>
        <w:spacing w:after="0" w:line="18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In the second quarter of 2024 we repurchased 0.1 million shares of our common stock in open market transactions in compliance with Rule 10b5-1 and Rule 10b-18 of the Exchange Act for $12 million, inclusive of per-share commissions, at a weighted average price of $209.20.</w:t>
      </w:r>
    </w:p>
    <w:p>
      <w:pPr>
        <w:spacing w:after="0" w:line="176"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As of June 30, 2024, the Company has authorization for $1,238 million of future share repurchases. As a result of the planned Stericycle acquisition discussed in Note 8, the Company previously announced that it has temporarily suspended share repurchases. The amount of future share repurchases executed under our Board of Directors’ authorization is determined at management’s discretion, based on various factors, including our net earnings, financial condition and cash required for future business plans, growth and acquisitions.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Fair Value Measurements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Accounted for at Fair Value</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assets and liabilities that are measured at fair value on a recurring basis include the following (in millions):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240" w:type="dxa"/>
            <w:vAlign w:val="bottom"/>
            <w:tcBorders>
              <w:bottom w:val="single" w:sz="8" w:color="CCEEFF"/>
            </w:tcBorders>
          </w:tcPr>
          <w:p>
            <w:pPr>
              <w:spacing w:after="0"/>
              <w:rPr>
                <w:sz w:val="15"/>
                <w:szCs w:val="15"/>
                <w:color w:val="auto"/>
              </w:rPr>
            </w:pPr>
          </w:p>
        </w:tc>
        <w:tc>
          <w:tcPr>
            <w:tcW w:w="45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682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Quoted prices in active markets (Level 1):</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16"/>
        </w:trPr>
        <w:tc>
          <w:tcPr>
            <w:tcW w:w="6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Cash equivalents and money market funds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Pr>
          <w:p>
            <w:pPr>
              <w:spacing w:after="0"/>
              <w:rPr>
                <w:sz w:val="18"/>
                <w:szCs w:val="18"/>
                <w:color w:val="auto"/>
              </w:rPr>
            </w:pP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16"/>
        </w:trPr>
        <w:tc>
          <w:tcPr>
            <w:tcW w:w="6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securities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6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Debt securities (a)</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Significant other observable inputs (Level 2):</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68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Available-for-sale securities (b)</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r>
      <w:tr>
        <w:trPr>
          <w:trHeight w:val="209"/>
        </w:trPr>
        <w:tc>
          <w:tcPr>
            <w:tcW w:w="68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r>
      <w:tr>
        <w:trPr>
          <w:trHeight w:val="20"/>
        </w:trPr>
        <w:tc>
          <w:tcPr>
            <w:tcW w:w="22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4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r>
    </w:tbl>
    <w:p>
      <w:pPr>
        <w:spacing w:after="0" w:line="76" w:lineRule="exact"/>
        <w:rPr>
          <w:sz w:val="20"/>
          <w:szCs w:val="20"/>
          <w:color w:val="auto"/>
        </w:rPr>
      </w:pPr>
    </w:p>
    <w:p>
      <w:pPr>
        <w:ind w:left="380" w:hanging="330"/>
        <w:spacing w:after="0"/>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$778 million of investments in certain WM tax-exempt bonds as discussed further in Note 1.</w:t>
      </w:r>
    </w:p>
    <w:p>
      <w:pPr>
        <w:spacing w:after="0" w:line="117"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available-for-sale securities primarily relate to debt securities with maturities over the next ten years.</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See Note 9 for information related to our nonrecurring fair value measurements.</w:t>
      </w:r>
    </w:p>
    <w:p>
      <w:pPr>
        <w:spacing w:after="0" w:line="1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Fair Value of Debt</w:t>
      </w:r>
    </w:p>
    <w:p>
      <w:pPr>
        <w:spacing w:after="0" w:line="22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As of June 30, 2024 and December 31, 2023, the carrying value of our debt was $16.7 billion and $16.2 billion, respectively. The estimated fair value of our debt was approximately $15.6 billion as of June 30, 2024 and December 31, 2023.</w:t>
      </w:r>
    </w:p>
    <w:p>
      <w:pPr>
        <w:spacing w:after="0" w:line="176"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Although we have determined the estimated fair value amounts using available market information and commonly accepted valuation methodologies, considerable judgment is required in interpreting market data to develop the estimates of fair value. Accordingly, our estimates are not necessarily indicative of the amounts that we, or holders of the instruments, could realize in a current market exchange. The use of different assumptions or estimation methodologies could have a material effect on the estimated fair values. The fair value estimates are based on Level 2 inputs of the fair value hierarchy available as of June 30, 2024 and December 31, 2023. These amounts have not been revalued since those dates, and current estimates of fair value could differ significantly from the amounts presented.</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Variable Interest Entities</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our financial interests in unconsolidated and consolidated variable interest entities that we consider significant:</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Low-Income Housing Properties</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do not consolidate our investments in entities established to manage low-income housing properties because we are not the primary beneficiary of these entities as we do not have the power to individually direct the activities of these entities. Our aggregate investment balance in these entities was $400 million and $458 million as of June 30, 2024 and December 31, 2023, respectively. The debt balance related to our investments in low-income housing properties was $383 million and $408 million as of June 30, 2024 and December 31, 2023, respectively. Additional information related to these investments is discussed in Note 4.</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Trust Funds for Final Capping, Closure, Post-Closure or Environmental Remediation Obligations</w:t>
      </w: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Unconsolidated Variable Interest Entities — </w:t>
      </w:r>
      <w:r>
        <w:rPr>
          <w:rFonts w:ascii="Times New Roman" w:cs="Times New Roman" w:eastAsia="Times New Roman" w:hAnsi="Times New Roman"/>
          <w:sz w:val="18"/>
          <w:szCs w:val="18"/>
          <w:color w:val="auto"/>
        </w:rPr>
        <w:t>Trust funds that are established for both the benefit of the Company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host community in which we operate are not consolidated because we are not the primary beneficiary of these entities as (i) we do not have the power to direct the significant activities of the trusts or (ii) power over the trusts’ significant activities is shared. Our interests in these trusts are accounted for as investments in unconsolidated entities and receivables. These amounts are recorded in other receivables, investments in unconsolidated entities and long-term other assets in our Condensed Consolidated Balance Sheets, as appropriate. We also reflect our share of the unrealized gains and losses on available-for-sale securities held by these trusts as a component of our accumulated other comprehensive (loss) income. Our investments and receivables related to these trusts had an aggregate carrying value of $107 million and $104 million as of June 30, 2024 and December 31, 2023, respectively.</w:t>
      </w:r>
    </w:p>
    <w:p>
      <w:pPr>
        <w:spacing w:after="0" w:line="188"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Consolidated Variable Interest Entities — </w:t>
      </w:r>
      <w:r>
        <w:rPr>
          <w:rFonts w:ascii="Times New Roman" w:cs="Times New Roman" w:eastAsia="Times New Roman" w:hAnsi="Times New Roman"/>
          <w:sz w:val="18"/>
          <w:szCs w:val="18"/>
          <w:color w:val="auto"/>
        </w:rPr>
        <w:t>Trust funds for which we are the sole beneficiary are consolidated because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are the primary beneficiary. These trust funds are recorded in restricted funds in our Condensed Consolidated Balance Sheets. Unrealized gains and losses on available-for-sale securities held by these trusts are recorded as a component of accumulated other comprehensive income (loss). These trusts had a fair value of $121 million and $119 million as of June 30, 2024 and December 31, 2023, respectively.</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Senior Notes Issuance</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In July 2024, WMI issued $750 million of 4.950% senior notes due 2027 and $750 million of 4.950% senior notes due 2031, the net proceeds of which were $1.5 billion. The net proceeds were used primarily to reduce outstanding borrowings under our commercial paper program.</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Acquisition</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On July 15, 2024, we completed the acquisition of Winters Bros. Waste Systems, a large regional waste and recycling company based in Long Island, New York with total purchase price of $550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24" w:name="page25"/>
    <w:bookmarkEnd w:id="24"/>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left="60" w:right="59" w:firstLine="389"/>
        <w:spacing w:after="0" w:line="261"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Condensed Consolidated Financial Statements and notes thereto included under Item 1 and our Consolidated Financial Statements and notes thereto and related Management’s Discussion and Analysis of Financial Condition and Results of Operations included in our Annual Report on Form 10-K for the year ended December 31, 2023.</w:t>
      </w:r>
    </w:p>
    <w:p>
      <w:pPr>
        <w:spacing w:after="0" w:line="180" w:lineRule="exact"/>
        <w:rPr>
          <w:sz w:val="20"/>
          <w:szCs w:val="20"/>
          <w:color w:val="auto"/>
        </w:rPr>
      </w:pPr>
    </w:p>
    <w:p>
      <w:pPr>
        <w:jc w:val="both"/>
        <w:ind w:left="60" w:right="59" w:firstLine="389"/>
        <w:spacing w:after="0" w:line="251" w:lineRule="auto"/>
        <w:rPr>
          <w:sz w:val="20"/>
          <w:szCs w:val="20"/>
          <w:color w:val="auto"/>
        </w:rPr>
      </w:pPr>
      <w:r>
        <w:rPr>
          <w:rFonts w:ascii="Times New Roman" w:cs="Times New Roman" w:eastAsia="Times New Roman" w:hAnsi="Times New Roman"/>
          <w:sz w:val="18"/>
          <w:szCs w:val="18"/>
          <w:color w:val="auto"/>
        </w:rPr>
        <w:t>This Quarterly Report on Form 10-Q contains certain forward-looking statements that are made subject to the safe harbor protections provided by the Private Securities Litigation Reform Act of 1995. Forward-looking statements are often identified by the words, “will,” “may,” “should,” “continue,” “anticipate,” “believe,” “expect,” “target,” “plan,” “forecast,” “project,” “estimate,” “intend,” and words of a similar nature and include estimates or projections of financial and other data; comments on expectations relating to future periods; plans or objectives for the future; and statements of opinion, view or belief about current and future events, circumstances or performance. You should view these statements with caution. They are based on the facts and circumstances known to us as of the date the statements are made. These forward-looking statements are subject to risks and uncertainties that could cause actual results to be materially different from those set forth in such forward-looking statements, including but not limited to failure to implement our optimization, automation, growth, and cost savings initiatives and overall business strategy; failure to obtain the results anticipated from strategic initiatives, investments, acquisitions, including the planned Stericycle acquisition, or new lines of business; failure to identify acquisition targets, consummate and integrate acquisitions, including our planned integration of Stericycle; our ability to consummate and finance the Stericycle acquisition and achieve the anticipated benefits therefrom, including cost synergies; legal, regulatory and other matters that may affect the costs and timing of our ability to complete, integrate and deliver all of the expected benefits of the planned Stericycle acquisition; environmental and other regulations, including developments related to emerging contaminants, gas emissions, renewable energy, extended producer responsibility and our natural gas fleet; significant environmental, safety or other incidents resulting in liabilities or brand damage; failure to obtain and maintain necessary permits due to land scarcity, public opposition or otherwise; diminishing landfill capacity, resulting in increased costs and the need for disposal alternatives; failure to attract, hire and retain key team members and a high quality workforce; increases in labor costs due to union organizing activities or changes in wage and labor related regulations; disruption and costs resulting from severe weather and destructive climate events; failure to achieve our sustainability goals or execute on our sustainability-related strategy and initiatives, including within planned timelines or anticipated budgets due to disruptions, delays, cost increases or changes in environmental or tax regulations; focus on, and regulation of, environmental and sustainability-related disclosures, which could lead to increased costs, risk of non-compliance, brand damage and litigation risk related to our sustainability efforts; macroeconomic conditions, geopolitical conflict and large-scale market disruption resulting in labor, supply chain and transportation constraints, inflationary cost pressures and fluctuations in commodity prices, fuel and other energy costs; increased competition; pricing actions; impacts from international trade restrictions; competitive disposal alternatives, diversion of waste from landfills and declining waste volumes; weakness in general economic conditions and capital markets, including potential for an economic recession; instability of financial institutions; adoption of new tax legislation; fuel shortages; failure to develop and protect new technology; failure of technology to perform as expected; failure to prevent, detect and address cybersecurity incidents or comply with privacy regulations; inability to adapt and manage the benefits and risks of artificial intelligence; negative outcomes of litigation or governmental proceedings; and decisions or developments that result in impairment charges and other risks discussed in our filings with the SEC, including Part I, Item 1A of our Annual Report on Form 10-K for the year ended December 31, 2023, as updated by Part II, Item 1A of this Quarterly Report on Form 10-Q. We assume no obligation to update any forward-looking statement, including financial estimates and forecasts, whether as a result of future events, circumstances or developments or otherwise.</w:t>
      </w:r>
    </w:p>
    <w:p>
      <w:pPr>
        <w:spacing w:after="0" w:line="1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are North America’s leading provider of comprehensive environmental solutions, providing services throughout the United States (“U.S.”) and Canada. We partner with our customers and the communities we serve to manage and reduce waste at each stage from collection to disposal, while recovering valuable resources and creating clean, renewable energy. We own or operate the largest network of landfills throughout the U.S. and Canada. In order to make disposal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305" w:right="1440" w:bottom="1440" w:gutter="0" w:footer="0" w:header="0"/>
        </w:sectPr>
      </w:pPr>
    </w:p>
    <w:bookmarkStart w:id="25" w:name="page26"/>
    <w:bookmarkEnd w:id="25"/>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more practical for larger urban markets, where the distance to landfills is typically farther, we manage transfer stations that consolidate, compact and transport waste efficiently and economically. Our business is operated and managed locally by our subsidiaries that focus on distinct geographic areas and provide collection, transfer, disposal, recycling and resource recovery services. Through our subsidiaries, including our Waste Management Renewable Energy (“WM Renewable Energy”) business, we are also a leading developer, operator and owner of landfill gas-to-energy facilities in the U.S. and Canada that produce renewable electricity and renewable natural gas (“RNG”), which is a significant source of fuel that we allocate to our natural gas fleet. Additionally, we are a leading recycler in the U.S. and Canada, handling materials that include paper, cardboard, glass, plastic and metal.</w:t>
      </w:r>
    </w:p>
    <w:p>
      <w:pPr>
        <w:spacing w:after="0" w:line="19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Our senior management evaluates, oversees and manages the financial performance of our business through four reportable segments, referred to as (i) Collection and Disposal - East Tier (“East Tier”); (ii) Collection and Disposal - West Tier (“West Tier”); (iii) Recycling Processing and Sales and (iv) WM Renewable Energy. Our East and West Tiers, along with certain ancillary services (“Other Ancillary”) not managed through our Tier segments, but that support our collection and disposal operations, form our “Collection and Disposal” businesses.</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Strategy</w:t>
      </w:r>
    </w:p>
    <w:p>
      <w:pPr>
        <w:spacing w:after="0" w:line="229"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Our fundamental strategy has not changed; we remain dedicated to providing long-term value to our stockholders by successfully executing our core strategy of focused differentiation and continuous improvement. We have enabled a people-first, technology-led focus to drive our mission to maximize resource value, while minimizing environmental impact, and sustainability and environmental stewardship is embedded in all that we do. Our strategy leverages and sustains the strongest asset network in the industry to drive best-in-class customer experience and growth. Our strategic planning processes appropriately consider that the future of our business and the industry can be influenced by changes in economic conditions, the competitive landscape, the regulatory environment, asset and resource availability and technology. We believe that focused differentiation, which is driven by capitalizing on our unique and extensive network of assets, will deliver profitable growth and position us to leverage competitive advantages. Simultaneously, we believe that investing in automation to improve processes and drive operational efficiency combined with a focus on the cost to serve our customer will yield an attractive profit margin and enhanced service quality. We are furthering our strategy of focused differentiation and continuous improvement beyond our traditional waste operations through our sustainability growth strategy that includes significant planned investments in our WM Renewable Energy and Recycling Processing and Sales segments, while increasing automation and reducing labor dependency. We are also evaluating and pursuing emerging diversion technologies that may generate additional value.</w:t>
      </w:r>
    </w:p>
    <w:p>
      <w:pPr>
        <w:spacing w:after="0" w:line="182" w:lineRule="exact"/>
        <w:rPr>
          <w:sz w:val="20"/>
          <w:szCs w:val="20"/>
          <w:color w:val="auto"/>
        </w:rPr>
      </w:pPr>
    </w:p>
    <w:p>
      <w:pPr>
        <w:jc w:val="both"/>
        <w:ind w:left="60" w:right="59" w:firstLine="360"/>
        <w:spacing w:after="0" w:line="235" w:lineRule="auto"/>
        <w:rPr>
          <w:sz w:val="20"/>
          <w:szCs w:val="20"/>
          <w:color w:val="auto"/>
        </w:rPr>
      </w:pPr>
      <w:r>
        <w:rPr>
          <w:rFonts w:ascii="Times New Roman" w:cs="Times New Roman" w:eastAsia="Times New Roman" w:hAnsi="Times New Roman"/>
          <w:sz w:val="18"/>
          <w:szCs w:val="18"/>
          <w:color w:val="auto"/>
        </w:rPr>
        <w:t>The Company continually evaluates potential acquisitions that provide the opportunity for strategic growth. On June 3, 2024, we announced that we have entered into an Agreement and Plan of Merger (the “Merger Agreement”) to acquire all outstanding shares of Stericycle, Inc. (“Stericycle”) for $62.00 per share in cash, representing a total enterprise value of approximately $7.2 billion when including approximately $1.4 billion of Stericycle’s net debt. Stericycle is a U.S. based leading provider of compliance-based solutions for regulated waste, including medical waste, and secure information destruction. Stericycle serves customers in North America and Europe. We believe that the planned Stericycle acquisition will expand the Company’s comprehensive environmental solutions in the growing healthcare market while advancing the Company’s sustainability commitments.</w:t>
      </w:r>
    </w:p>
    <w:p>
      <w:pPr>
        <w:spacing w:after="0" w:line="3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Business Environment</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waste industry is a comparatively mature and stable industry. However, customers increasingly expect more of their waste materials to be recovered and those waste streams are becoming more complex. In addition, many state and local governments mandate diversion, recycling and waste reduction at the source and prohibit the disposal of certain types of waste at landfills. We monitor these developments to adapt our service offerings. As companies, individuals and communities look for ways to be more sustainable, we promote our comprehensive services that go beyond our core business of collecting and disposing of waste in order to meet their needs. This includes expanding traditional recycling services, increasing organics collection and processing, and expanding our renewable energy projects to meet the evolving needs of our diverse customer base. As North America’s leading provider of comprehensive environmental solutions, we are taking big, bold steps to catalyze positive change – change that will impact our Company as well as the communities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26" w:name="page27"/>
    <w:bookmarkEnd w:id="26"/>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serve. Consistent with our Company’s long-standing commitment to sustainability and environmental stewardship, we have published our 2023 Sustainability Report providing details on our sustainability-related performance and outlining progress towards our 2030 sustainability goals. The Sustainability Report conveys the strong linkage between the Company’s sustainability goals and our growth strategy, inclusive of the planned and ongoing expansion of the Company’s Recycling Processing and Sales and WM Renewable Energy segments. The information in this report can be found at https://sustainability.wm.com but it does not constitute a part of, and is not incorporated by reference into, this Quarterly Report on Form 10-Q.</w:t>
      </w:r>
    </w:p>
    <w:p>
      <w:pPr>
        <w:spacing w:after="0" w:line="18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encounter intense competition from governmental, quasi-governmental and private service providers based on pricing, and to a much lesser extent, the nature of service offerings, particularly in the residential line of business. Our industry is directly affected by changes in general economic factors, including increases and decreases in consumer spending, business expansions and construction activity. These factors generally correlate to volumes of waste generated and impact our revenue. Negative economic conditions and other macroeconomic trends can and have caused customers to reduce their service needs. Such negative economic conditions, in addition to competitor actions, can impact our strategy to negotiate, renew, or expand service contracts and grow our business. We also encounter competition for acquisitions and growth opportunities. General economic factors and the market for consumer goods, in addition to regulatory developments, can also significantly impact commodity prices for the recyclable materials we sell. Significant components of our operating expenses vary directly as we experience changes in revenue due to volume and inflation. Volume changes can fluctuate significantly by line of business and volume changes in higher margin businesses can impact key financial metrics. We must dynamically manage our cost structure in response to volume changes and cost inflation.</w:t>
      </w:r>
    </w:p>
    <w:p>
      <w:pPr>
        <w:spacing w:after="0" w:line="190"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believe the Company’s industry-leading asset network and strategic focus on investing in our people and our digital platform will give the Company the necessary tools to address the evolving challenges impacting the Company and our industry. In line with our commitment to continuous improvement and a differentiated customer experience, we remain focused on our automation and optimization investments to enhance our operational efficiency and change the way we interact with our customers. Advancements made through these initiatives are intended to seamlessly and digitally connect all enterprise functions required to service customers and provide the best experience.</w:t>
      </w:r>
    </w:p>
    <w:p>
      <w:pPr>
        <w:spacing w:after="0" w:line="18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Macroeconomic pressures continue, including sustained inflationary pressures and high interest rates, with geopolitical events causing further market disruptions. Inflation moderately improved from the high levels observed during the first half of 2023; however, inflation remained above typical levels during the first half of 2024. While supply chain activity has largely normalized, risks persist related to higher operating costs, ongoing supply shortages, labor and transportation challenges and impacts from global events.</w:t>
      </w:r>
    </w:p>
    <w:p>
      <w:pPr>
        <w:spacing w:after="0" w:line="183"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sometimes experience margin pressures and variability in earnings and margins from our commodity-driven businesses, specifically within our Recycling Processing and Sales segment. While recycling commodity prices have recovered nicely in 2024 from the low levels experienced in 2023, commodity values are still below prices seen at the beginning of 2022. We continue to take proactive steps to adjust our business models to protect against the down-side risk of changes in commodity prices.</w:t>
      </w:r>
    </w:p>
    <w:p>
      <w:pPr>
        <w:spacing w:after="0" w:line="183"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extent and duration of the impact of labor, supply chain, transportation and commodity price challenges are subject to numerous external factors beyond our control, including broader macroeconomic conditions; recessionary fears and/or an economic recession; size, location, and qualifications of the labor pool; wage and price structures; adoption of new or revised regulations; geopolitical conflicts and responses and supply and demand for commodities. As we experience inflationary cost pressures, we focus on our pricing efforts, as well as operating efficiencies and cost controls, to maintain our earnings and cash flow and facilitate growth. With these macroeconomic pressures, we remain committed to putting our people first to ensure that they are well positioned to execute our daily operations diligently and safely. We remain focused on delivering outstanding customer service, managing our variable costs with changing volumes and investing in technology that will enhance our customers’ experience and provide operating efficiencies intended to reduce our cost to serve.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27" w:name="page28"/>
    <w:bookmarkEnd w:id="27"/>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Current Quarter Financial Results</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During the second quarter of 2024, we continued to focus on our priorities to advance our strategy—enhancing employee engagement, permanently reducing our cost to serve through the use of technology and automation, and investing in growth through our Recycling Processing and Sales and WM Renewable Energy segments. This strategic focus, combined with strong operational execution resulted in increased revenue, income from operations and income from operations margin. We remain diligent in offering a competitively profitable service that meets the needs of our customers, and we are focused on driving operating efficiencies and reducing discretionary spend. We continue to invest in our people through paying a competitive market wage, investments in our digital platform and training for our team members. We also continue to make investments in automation and optimization to enhance our operational efficiency and improve labor productivity for all lines of business. During the second quarter of 2024, we allocated $667 million of available cash to capital expenditures and $313 million to our shareholders through dividends and common stock repurchases.</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Key elements of our financial results for the second quarter include:</w:t>
      </w:r>
    </w:p>
    <w:p>
      <w:pPr>
        <w:spacing w:after="0" w:line="117" w:lineRule="exact"/>
        <w:rPr>
          <w:sz w:val="20"/>
          <w:szCs w:val="20"/>
          <w:color w:val="auto"/>
        </w:rPr>
      </w:pPr>
    </w:p>
    <w:p>
      <w:pPr>
        <w:jc w:val="both"/>
        <w:ind w:left="720" w:right="79" w:hanging="319"/>
        <w:spacing w:after="0" w:line="261"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of $5,402 million, compared with $5,119 million in the prior year period, an increase of $283 million, or 5.5%. The increase is primarily attributable to higher yield in our Collection and Disposal businesses and the increase in market value for recycled commodities, which increased revenues for our Recycling Processing and Sales segment;</w:t>
      </w:r>
    </w:p>
    <w:p>
      <w:pPr>
        <w:spacing w:after="0" w:line="71" w:lineRule="exact"/>
        <w:rPr>
          <w:rFonts w:ascii="Times New Roman" w:cs="Times New Roman" w:eastAsia="Times New Roman" w:hAnsi="Times New Roman"/>
          <w:sz w:val="18"/>
          <w:szCs w:val="18"/>
          <w:color w:val="auto"/>
        </w:rPr>
      </w:pPr>
    </w:p>
    <w:p>
      <w:pPr>
        <w:jc w:val="both"/>
        <w:ind w:left="720" w:right="79" w:hanging="319"/>
        <w:spacing w:after="0" w:line="253"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of $3,291 million, or 60.9% of revenues, compared with $3,186 million, or 62.2% of revenues, in the prior year period. The $105 million increase in operating expenses is primarily attributable to (i) higher recycling rebates from an increase in the market value for the commodities we process; (ii) an increase in volumes in our Strategic Business Solutions (“WMSBS”) business, which increases our subcontractor costs, (iii) an increase in landfill operating costs, largely due to wet weather driving leachate costs higher, and (iv) and increase in risk management costs. These increases were offset in part by (i) lower diesel fuel prices and (ii) improved operating efficiency and cost control initiatives in our Collection and Disposal businesses. Although our operating expenses increased overall, efficiency gains, improved employee retention, and momentum in truck deliveries, positioned us to significantly reduce our operating expenses as a percentage of revenue when compared to the second quarter of 2023;</w:t>
      </w:r>
    </w:p>
    <w:p>
      <w:pPr>
        <w:spacing w:after="0" w:line="86"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administrative expenses were $501 million, or 9.3% of revenues, compared with $467 million, or 9.1% of revenues, in the prior year period. The $34 million increase is primarily attributable to</w:t>
      </w:r>
    </w:p>
    <w:p>
      <w:pPr>
        <w:jc w:val="both"/>
        <w:ind w:left="720" w:right="79" w:firstLine="5"/>
        <w:spacing w:after="0" w:line="253" w:lineRule="auto"/>
        <w:tabs>
          <w:tab w:leader="none" w:pos="97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labor costs from higher annual and long-term incentive compensation costs and annual wage increases; (ii) increased professional fees to support strategic initiatives, including our planned acquisition of Stericycle and (iii) increases in our bad debt expenses. These increases were offset, in part, by lower litigation costs;</w:t>
      </w:r>
    </w:p>
    <w:p>
      <w:pPr>
        <w:spacing w:after="0" w:line="80"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operations was $1,009 million, or 18.7% of revenues, compared with $944 million, or 18.4% of revenues, in the prior year period. The increase in the current year earnings was primarily driven by revenue growth and improved business performance in our Collection and Disposal businesses partially offset by a $54 million charge associated with an investment in a waste diversion technology business;</w:t>
      </w:r>
    </w:p>
    <w:p>
      <w:pPr>
        <w:spacing w:after="0" w:line="7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provided by operating activities was $1,154 million compared with $1,030 million in the prior year period, with the increase driven by higher earnings in our Collection and Disposal businesses, which were modestly offset by an unfavorable change in working capital; and</w:t>
      </w:r>
    </w:p>
    <w:p>
      <w:pPr>
        <w:spacing w:after="0" w:line="67" w:lineRule="exact"/>
        <w:rPr>
          <w:rFonts w:ascii="Times New Roman" w:cs="Times New Roman" w:eastAsia="Times New Roman" w:hAnsi="Times New Roman"/>
          <w:sz w:val="18"/>
          <w:szCs w:val="18"/>
          <w:color w:val="auto"/>
        </w:rPr>
      </w:pPr>
    </w:p>
    <w:p>
      <w:pPr>
        <w:jc w:val="both"/>
        <w:ind w:left="720" w:right="79" w:hanging="319"/>
        <w:spacing w:after="0" w:line="255"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Free cash flow was $530 million compared with $545 million in the prior year period. As described above, cash provided by operating activities increased by $124 million during the quarter, but this was more than offset by a $147 million increase in capital expenditures. The increase in capital expenditures is related to our strategic focus on sustainability growth investments in recycling and renewable energy. Free cash flow is a non-GAAP measure of liquidity. Refer to </w:t>
      </w:r>
      <w:r>
        <w:rPr>
          <w:rFonts w:ascii="Times New Roman" w:cs="Times New Roman" w:eastAsia="Times New Roman" w:hAnsi="Times New Roman"/>
          <w:sz w:val="18"/>
          <w:szCs w:val="18"/>
          <w:i w:val="1"/>
          <w:iCs w:val="1"/>
          <w:color w:val="auto"/>
        </w:rPr>
        <w:t>Free Cash Flow</w:t>
      </w:r>
      <w:r>
        <w:rPr>
          <w:rFonts w:ascii="Times New Roman" w:cs="Times New Roman" w:eastAsia="Times New Roman" w:hAnsi="Times New Roman"/>
          <w:sz w:val="18"/>
          <w:szCs w:val="18"/>
          <w:color w:val="auto"/>
        </w:rPr>
        <w:t xml:space="preserve"> below for our definition of free cash flow, additional information about our use of this measure, and a reconciliation to net cash provided by operating activities, which is the most comparable GAAP measure.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Operating Revenues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mix of operating revenues from our major lines of business are as follows (in millions):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40" w:type="dxa"/>
            <w:vAlign w:val="bottom"/>
            <w:gridSpan w:val="3"/>
          </w:tcPr>
          <w:p>
            <w:pPr>
              <w:jc w:val="center"/>
              <w:ind w:left="76"/>
              <w:spacing w:after="0"/>
              <w:rPr>
                <w:sz w:val="20"/>
                <w:szCs w:val="20"/>
                <w:color w:val="auto"/>
              </w:rPr>
            </w:pPr>
            <w:r>
              <w:rPr>
                <w:rFonts w:ascii="Times New Roman" w:cs="Times New Roman" w:eastAsia="Times New Roman" w:hAnsi="Times New Roman"/>
                <w:sz w:val="14"/>
                <w:szCs w:val="14"/>
                <w:b w:val="1"/>
                <w:bCs w:val="1"/>
                <w:color w:val="auto"/>
              </w:rPr>
              <w:t>Intercompany</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31"/>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8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34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292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8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 (a)</w:t>
            </w:r>
          </w:p>
        </w:tc>
        <w:tc>
          <w:tcPr>
            <w:tcW w:w="18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6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2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2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3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Industrial</w:t>
            </w:r>
          </w:p>
        </w:tc>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w:t>
            </w:r>
          </w:p>
        </w:tc>
        <w:tc>
          <w:tcPr>
            <w:tcW w:w="2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collection</w:t>
            </w:r>
          </w:p>
        </w:tc>
        <w:tc>
          <w:tcPr>
            <w:tcW w:w="29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collection</w:t>
            </w:r>
          </w:p>
        </w:tc>
        <w:tc>
          <w:tcPr>
            <w:tcW w:w="2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Landfill</w:t>
            </w:r>
          </w:p>
        </w:tc>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w:t>
            </w:r>
          </w:p>
        </w:tc>
        <w:tc>
          <w:tcPr>
            <w:tcW w:w="29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2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 Renewable Energy</w:t>
            </w:r>
          </w:p>
        </w:tc>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29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3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9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6,637</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1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3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Industrial</w:t>
            </w:r>
          </w:p>
        </w:tc>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w:t>
            </w:r>
          </w:p>
        </w:tc>
        <w:tc>
          <w:tcPr>
            <w:tcW w:w="2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collection</w:t>
            </w:r>
          </w:p>
        </w:tc>
        <w:tc>
          <w:tcPr>
            <w:tcW w:w="29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collection</w:t>
            </w:r>
          </w:p>
        </w:tc>
        <w:tc>
          <w:tcPr>
            <w:tcW w:w="2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Landfill</w:t>
            </w:r>
          </w:p>
        </w:tc>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w:t>
            </w:r>
          </w:p>
        </w:tc>
        <w:tc>
          <w:tcPr>
            <w:tcW w:w="29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2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 Renewable Energy</w:t>
            </w:r>
          </w:p>
        </w:tc>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29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9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6,328</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920" w:type="dxa"/>
            <w:vAlign w:val="bottom"/>
            <w:vMerge w:val="restart"/>
          </w:tcPr>
          <w:p>
            <w:pPr>
              <w:jc w:val="right"/>
              <w:ind w:right="1650"/>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873" w:right="1440" w:bottom="1440" w:gutter="0" w:footer="0" w:header="0"/>
        </w:sectPr>
      </w:pPr>
    </w:p>
    <w:bookmarkStart w:id="29" w:name="page30"/>
    <w:bookmarkEnd w:id="29"/>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Intercompany</w:t>
            </w:r>
          </w:p>
        </w:tc>
        <w:tc>
          <w:tcPr>
            <w:tcW w:w="140" w:type="dxa"/>
            <w:vAlign w:val="bottom"/>
          </w:tcPr>
          <w:p>
            <w:pPr>
              <w:spacing w:after="0"/>
              <w:rPr>
                <w:sz w:val="13"/>
                <w:szCs w:val="13"/>
                <w:color w:val="auto"/>
              </w:rPr>
            </w:pPr>
          </w:p>
        </w:tc>
        <w:tc>
          <w:tcPr>
            <w:tcW w:w="580" w:type="dxa"/>
            <w:vAlign w:val="bottom"/>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88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2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7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r>
      <w:tr>
        <w:trPr>
          <w:trHeight w:val="173"/>
        </w:trPr>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8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Revenues (a)</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r>
      <w:tr>
        <w:trPr>
          <w:trHeight w:val="155"/>
        </w:trPr>
        <w:tc>
          <w:tcPr>
            <w:tcW w:w="6280" w:type="dxa"/>
            <w:vAlign w:val="bottom"/>
            <w:tcBorders>
              <w:top w:val="single" w:sz="8" w:color="CCEEFF"/>
            </w:tcBorders>
            <w:gridSpan w:val="4"/>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4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62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w:t>
            </w:r>
          </w:p>
        </w:tc>
      </w:tr>
      <w:tr>
        <w:trPr>
          <w:trHeight w:val="216"/>
        </w:trPr>
        <w:tc>
          <w:tcPr>
            <w:tcW w:w="62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(386)</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w:t>
            </w:r>
          </w:p>
        </w:tc>
      </w:tr>
      <w:tr>
        <w:trPr>
          <w:trHeight w:val="216"/>
        </w:trPr>
        <w:tc>
          <w:tcPr>
            <w:tcW w:w="62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w:t>
            </w:r>
          </w:p>
        </w:tc>
      </w:tr>
      <w:tr>
        <w:trPr>
          <w:trHeight w:val="216"/>
        </w:trPr>
        <w:tc>
          <w:tcPr>
            <w:tcW w:w="62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Other collection</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6260" w:type="dxa"/>
            <w:vAlign w:val="bottom"/>
            <w:tcBorders>
              <w:top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collection</w:t>
            </w: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7,316</w:t>
            </w:r>
          </w:p>
        </w:tc>
      </w:tr>
      <w:tr>
        <w:trPr>
          <w:trHeight w:val="216"/>
        </w:trPr>
        <w:tc>
          <w:tcPr>
            <w:tcW w:w="62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Landfill</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(803)</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w:t>
            </w:r>
          </w:p>
        </w:tc>
      </w:tr>
      <w:tr>
        <w:trPr>
          <w:trHeight w:val="216"/>
        </w:trPr>
        <w:tc>
          <w:tcPr>
            <w:tcW w:w="62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(521)</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r>
      <w:tr>
        <w:trPr>
          <w:trHeight w:val="209"/>
        </w:trPr>
        <w:tc>
          <w:tcPr>
            <w:tcW w:w="20" w:type="dxa"/>
            <w:vAlign w:val="bottom"/>
          </w:tcPr>
          <w:p>
            <w:pPr>
              <w:spacing w:after="0"/>
              <w:rPr>
                <w:sz w:val="18"/>
                <w:szCs w:val="18"/>
                <w:color w:val="auto"/>
              </w:rPr>
            </w:pPr>
          </w:p>
        </w:tc>
        <w:tc>
          <w:tcPr>
            <w:tcW w:w="62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11,879</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9,638</w:t>
            </w:r>
          </w:p>
        </w:tc>
      </w:tr>
      <w:tr>
        <w:trPr>
          <w:trHeight w:val="216"/>
        </w:trPr>
        <w:tc>
          <w:tcPr>
            <w:tcW w:w="62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(138)</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r>
      <w:tr>
        <w:trPr>
          <w:trHeight w:val="216"/>
        </w:trPr>
        <w:tc>
          <w:tcPr>
            <w:tcW w:w="62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WM Renewable Energy</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62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49"/>
        </w:trPr>
        <w:tc>
          <w:tcPr>
            <w:tcW w:w="20" w:type="dxa"/>
            <w:vAlign w:val="bottom"/>
            <w:tcBorders>
              <w:bottom w:val="single" w:sz="8" w:color="CCEEFF"/>
            </w:tcBorders>
          </w:tcPr>
          <w:p>
            <w:pPr>
              <w:spacing w:after="0"/>
              <w:rPr>
                <w:sz w:val="21"/>
                <w:szCs w:val="21"/>
                <w:color w:val="auto"/>
              </w:rPr>
            </w:pPr>
          </w:p>
        </w:tc>
        <w:tc>
          <w:tcPr>
            <w:tcW w:w="6260" w:type="dxa"/>
            <w:vAlign w:val="bottom"/>
            <w:tcBorders>
              <w:bottom w:val="single" w:sz="8" w:color="CCEEFF"/>
            </w:tcBorders>
            <w:gridSpan w:val="3"/>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12,954</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1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10,561</w:t>
            </w:r>
          </w:p>
        </w:tc>
      </w:tr>
      <w:tr>
        <w:trPr>
          <w:trHeight w:val="197"/>
        </w:trPr>
        <w:tc>
          <w:tcPr>
            <w:tcW w:w="2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16"/>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62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w:t>
            </w:r>
          </w:p>
        </w:tc>
      </w:tr>
      <w:tr>
        <w:trPr>
          <w:trHeight w:val="216"/>
        </w:trPr>
        <w:tc>
          <w:tcPr>
            <w:tcW w:w="62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(369)</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w:t>
            </w:r>
          </w:p>
        </w:tc>
      </w:tr>
      <w:tr>
        <w:trPr>
          <w:trHeight w:val="216"/>
        </w:trPr>
        <w:tc>
          <w:tcPr>
            <w:tcW w:w="62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r>
      <w:tr>
        <w:trPr>
          <w:trHeight w:val="216"/>
        </w:trPr>
        <w:tc>
          <w:tcPr>
            <w:tcW w:w="62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Other collection</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6260" w:type="dxa"/>
            <w:vAlign w:val="bottom"/>
            <w:tcBorders>
              <w:top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collection</w:t>
            </w: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7,043</w:t>
            </w:r>
          </w:p>
        </w:tc>
      </w:tr>
      <w:tr>
        <w:trPr>
          <w:trHeight w:val="216"/>
        </w:trPr>
        <w:tc>
          <w:tcPr>
            <w:tcW w:w="62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Landfill</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(808)</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w:t>
            </w:r>
          </w:p>
        </w:tc>
      </w:tr>
      <w:tr>
        <w:trPr>
          <w:trHeight w:val="216"/>
        </w:trPr>
        <w:tc>
          <w:tcPr>
            <w:tcW w:w="62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(516)</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r>
      <w:tr>
        <w:trPr>
          <w:trHeight w:val="210"/>
        </w:trPr>
        <w:tc>
          <w:tcPr>
            <w:tcW w:w="20" w:type="dxa"/>
            <w:vAlign w:val="bottom"/>
          </w:tcPr>
          <w:p>
            <w:pPr>
              <w:spacing w:after="0"/>
              <w:rPr>
                <w:sz w:val="18"/>
                <w:szCs w:val="18"/>
                <w:color w:val="auto"/>
              </w:rPr>
            </w:pPr>
          </w:p>
        </w:tc>
        <w:tc>
          <w:tcPr>
            <w:tcW w:w="62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11,435</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(2,178)</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9,257</w:t>
            </w:r>
          </w:p>
        </w:tc>
      </w:tr>
      <w:tr>
        <w:trPr>
          <w:trHeight w:val="216"/>
        </w:trPr>
        <w:tc>
          <w:tcPr>
            <w:tcW w:w="62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(158)</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r>
      <w:tr>
        <w:trPr>
          <w:trHeight w:val="216"/>
        </w:trPr>
        <w:tc>
          <w:tcPr>
            <w:tcW w:w="62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WM Renewable Energy</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62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09"/>
        </w:trPr>
        <w:tc>
          <w:tcPr>
            <w:tcW w:w="20" w:type="dxa"/>
            <w:vAlign w:val="bottom"/>
          </w:tcPr>
          <w:p>
            <w:pPr>
              <w:spacing w:after="0"/>
              <w:rPr>
                <w:sz w:val="18"/>
                <w:szCs w:val="18"/>
                <w:color w:val="auto"/>
              </w:rPr>
            </w:pPr>
          </w:p>
        </w:tc>
        <w:tc>
          <w:tcPr>
            <w:tcW w:w="62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12,362</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10,011</w:t>
            </w: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1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0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r>
    </w:tbl>
    <w:p>
      <w:pPr>
        <w:spacing w:after="0" w:line="76" w:lineRule="exact"/>
        <w:rPr>
          <w:sz w:val="20"/>
          <w:szCs w:val="20"/>
          <w:color w:val="auto"/>
        </w:rPr>
      </w:pPr>
    </w:p>
    <w:p>
      <w:pPr>
        <w:jc w:val="both"/>
        <w:ind w:left="380" w:right="79" w:hanging="330"/>
        <w:spacing w:after="0" w:line="266"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operating revenues reflect each segment’s total intercompany sales, including intercompany sales within a segment and between segments. Transactions within and between segments are generally made on a basis intended to reflect the market value of the service.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2" w:right="1440" w:bottom="1440" w:gutter="0" w:footer="0" w:header="0"/>
        </w:sectPr>
      </w:pPr>
    </w:p>
    <w:bookmarkStart w:id="30" w:name="page31"/>
    <w:bookmarkEnd w:id="30"/>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details associated with the period-to-period change in revenues and average yield (dollars in millions):</w:t>
      </w:r>
    </w:p>
    <w:p>
      <w:pPr>
        <w:spacing w:after="0" w:line="4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780" w:type="dxa"/>
            <w:vAlign w:val="bottom"/>
            <w:gridSpan w:val="9"/>
          </w:tcPr>
          <w:p>
            <w:pPr>
              <w:jc w:val="center"/>
              <w:ind w:right="670"/>
              <w:spacing w:after="0"/>
              <w:rPr>
                <w:sz w:val="20"/>
                <w:szCs w:val="20"/>
                <w:color w:val="auto"/>
              </w:rPr>
            </w:pPr>
            <w:r>
              <w:rPr>
                <w:rFonts w:ascii="Times New Roman" w:cs="Times New Roman" w:eastAsia="Times New Roman" w:hAnsi="Times New Roman"/>
                <w:sz w:val="14"/>
                <w:szCs w:val="14"/>
                <w:b w:val="1"/>
                <w:bCs w:val="1"/>
                <w:color w:val="auto"/>
              </w:rPr>
              <w:t>Period-to-Period Change for the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700" w:type="dxa"/>
            <w:vAlign w:val="bottom"/>
            <w:gridSpan w:val="9"/>
          </w:tcPr>
          <w:p>
            <w:pPr>
              <w:jc w:val="center"/>
              <w:ind w:right="510"/>
              <w:spacing w:after="0"/>
              <w:rPr>
                <w:sz w:val="20"/>
                <w:szCs w:val="20"/>
                <w:color w:val="auto"/>
              </w:rPr>
            </w:pPr>
            <w:r>
              <w:rPr>
                <w:rFonts w:ascii="Times New Roman" w:cs="Times New Roman" w:eastAsia="Times New Roman" w:hAnsi="Times New Roman"/>
                <w:sz w:val="14"/>
                <w:szCs w:val="14"/>
                <w:b w:val="1"/>
                <w:bCs w:val="1"/>
                <w:color w:val="auto"/>
              </w:rPr>
              <w:t>Period-to-Period Change for the</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5"/>
          </w:tcPr>
          <w:p>
            <w:pPr>
              <w:jc w:val="center"/>
              <w:ind w:left="45"/>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5"/>
          </w:tcPr>
          <w:p>
            <w:pPr>
              <w:jc w:val="center"/>
              <w:ind w:left="145"/>
              <w:spacing w:after="0" w:line="149"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5"/>
          </w:tcPr>
          <w:p>
            <w:pPr>
              <w:jc w:val="center"/>
              <w:ind w:left="65"/>
              <w:spacing w:after="0"/>
              <w:rPr>
                <w:sz w:val="20"/>
                <w:szCs w:val="20"/>
                <w:color w:val="auto"/>
              </w:rPr>
            </w:pPr>
            <w:r>
              <w:rPr>
                <w:rFonts w:ascii="Times New Roman" w:cs="Times New Roman" w:eastAsia="Times New Roman" w:hAnsi="Times New Roman"/>
                <w:sz w:val="14"/>
                <w:szCs w:val="14"/>
                <w:b w:val="1"/>
                <w:bCs w:val="1"/>
                <w:color w:val="auto"/>
              </w:rPr>
              <w:t>June 30, 2024 vs. 2023</w:t>
            </w:r>
          </w:p>
        </w:tc>
        <w:tc>
          <w:tcPr>
            <w:tcW w:w="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5"/>
          </w:tcPr>
          <w:p>
            <w:pPr>
              <w:jc w:val="center"/>
              <w:ind w:left="125"/>
              <w:spacing w:after="0"/>
              <w:rPr>
                <w:sz w:val="20"/>
                <w:szCs w:val="20"/>
                <w:color w:val="auto"/>
              </w:rPr>
            </w:pPr>
            <w:r>
              <w:rPr>
                <w:rFonts w:ascii="Times New Roman" w:cs="Times New Roman" w:eastAsia="Times New Roman" w:hAnsi="Times New Roman"/>
                <w:sz w:val="14"/>
                <w:szCs w:val="14"/>
                <w:b w:val="1"/>
                <w:bCs w:val="1"/>
                <w:color w:val="auto"/>
              </w:rPr>
              <w:t>June 30, 2024 vs. 2023</w:t>
            </w:r>
          </w:p>
        </w:tc>
        <w:tc>
          <w:tcPr>
            <w:tcW w:w="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3"/>
          </w:tcPr>
          <w:p>
            <w:pPr>
              <w:jc w:val="right"/>
              <w:ind w:right="356"/>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3"/>
          </w:tcPr>
          <w:p>
            <w:pPr>
              <w:jc w:val="right"/>
              <w:ind w:right="350"/>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1080" w:type="dxa"/>
            <w:vAlign w:val="bottom"/>
            <w:gridSpan w:val="3"/>
          </w:tcPr>
          <w:p>
            <w:pPr>
              <w:jc w:val="right"/>
              <w:ind w:right="416"/>
              <w:spacing w:after="0" w:line="149" w:lineRule="exact"/>
              <w:rPr>
                <w:sz w:val="20"/>
                <w:szCs w:val="20"/>
                <w:color w:val="auto"/>
              </w:rPr>
            </w:pPr>
            <w:r>
              <w:rPr>
                <w:rFonts w:ascii="Times New Roman" w:cs="Times New Roman" w:eastAsia="Times New Roman" w:hAnsi="Times New Roman"/>
                <w:sz w:val="14"/>
                <w:szCs w:val="14"/>
                <w:b w:val="1"/>
                <w:bCs w:val="1"/>
                <w:color w:val="auto"/>
              </w:rPr>
              <w:t>Related</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2"/>
          </w:tcPr>
          <w:p>
            <w:pPr>
              <w:jc w:val="center"/>
              <w:ind w:right="15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2"/>
                <w:szCs w:val="12"/>
                <w:color w:val="auto"/>
              </w:rPr>
            </w:pPr>
          </w:p>
        </w:tc>
        <w:tc>
          <w:tcPr>
            <w:tcW w:w="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1080" w:type="dxa"/>
            <w:vAlign w:val="bottom"/>
            <w:gridSpan w:val="3"/>
          </w:tcPr>
          <w:p>
            <w:pPr>
              <w:jc w:val="right"/>
              <w:ind w:right="410"/>
              <w:spacing w:after="0" w:line="149" w:lineRule="exact"/>
              <w:rPr>
                <w:sz w:val="20"/>
                <w:szCs w:val="20"/>
                <w:color w:val="auto"/>
              </w:rPr>
            </w:pPr>
            <w:r>
              <w:rPr>
                <w:rFonts w:ascii="Times New Roman" w:cs="Times New Roman" w:eastAsia="Times New Roman" w:hAnsi="Times New Roman"/>
                <w:sz w:val="14"/>
                <w:szCs w:val="14"/>
                <w:b w:val="1"/>
                <w:bCs w:val="1"/>
                <w:color w:val="auto"/>
              </w:rPr>
              <w:t>Related</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2"/>
          </w:tcPr>
          <w:p>
            <w:pPr>
              <w:jc w:val="center"/>
              <w:ind w:right="7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3"/>
        </w:trPr>
        <w:tc>
          <w:tcPr>
            <w:tcW w:w="2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174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Business(a)   Amount</w:t>
            </w:r>
          </w:p>
        </w:tc>
        <w:tc>
          <w:tcPr>
            <w:tcW w:w="1040" w:type="dxa"/>
            <w:vAlign w:val="bottom"/>
            <w:gridSpan w:val="3"/>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Company(b)</w:t>
            </w:r>
          </w:p>
        </w:tc>
        <w:tc>
          <w:tcPr>
            <w:tcW w:w="80" w:type="dxa"/>
            <w:vAlign w:val="bottom"/>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174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Business(a)   Amount</w:t>
            </w:r>
          </w:p>
        </w:tc>
        <w:tc>
          <w:tcPr>
            <w:tcW w:w="960" w:type="dxa"/>
            <w:vAlign w:val="bottom"/>
            <w:gridSpan w:val="3"/>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Company(b)</w:t>
            </w:r>
          </w:p>
        </w:tc>
        <w:tc>
          <w:tcPr>
            <w:tcW w:w="0" w:type="dxa"/>
            <w:vAlign w:val="bottom"/>
          </w:tcPr>
          <w:p>
            <w:pPr>
              <w:spacing w:after="0"/>
              <w:rPr>
                <w:sz w:val="1"/>
                <w:szCs w:val="1"/>
                <w:color w:val="auto"/>
              </w:rPr>
            </w:pPr>
          </w:p>
        </w:tc>
      </w:tr>
      <w:tr>
        <w:trPr>
          <w:trHeight w:val="209"/>
        </w:trPr>
        <w:tc>
          <w:tcPr>
            <w:tcW w:w="2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Collection and Disposal</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Recycling Processing and</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Sales and WM Renewable</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Energy (c)</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Energy surcharge and</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mandated fees (d)</w:t>
            </w:r>
          </w:p>
        </w:tc>
        <w:tc>
          <w:tcPr>
            <w:tcW w:w="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average yield (e)</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2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Volume (f)</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Internal revenue growth</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Divestitures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24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Foreign currency</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translation</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79" w:hanging="330"/>
        <w:spacing w:after="0" w:line="282"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dividing the increase or decrease for the current year period by the prior year period’s related business revenue adjusted to exclude the impacts of divestitures for the current year period.</w:t>
      </w:r>
    </w:p>
    <w:p>
      <w:pPr>
        <w:spacing w:after="0" w:line="53"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dividing the increase or decrease for the current year period by the prior year period’s total Company revenue adjusted to exclude the impacts of divestitures for the current year period.</w:t>
      </w:r>
    </w:p>
    <w:p>
      <w:pPr>
        <w:spacing w:after="0" w:line="53" w:lineRule="exact"/>
        <w:rPr>
          <w:rFonts w:ascii="Times New Roman" w:cs="Times New Roman" w:eastAsia="Times New Roman" w:hAnsi="Times New Roman"/>
          <w:sz w:val="18"/>
          <w:szCs w:val="18"/>
          <w:color w:val="auto"/>
        </w:rPr>
      </w:pPr>
    </w:p>
    <w:p>
      <w:pPr>
        <w:jc w:val="both"/>
        <w:ind w:left="380" w:right="79" w:hanging="330"/>
        <w:spacing w:after="0" w:line="266"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combined impact of commodity price variability in both our Recycling Processing and Sales and WM Renewable Energy segments, as well as changes in certain recycling fees charged by our collection and disposal operations.</w:t>
      </w:r>
    </w:p>
    <w:p>
      <w:pPr>
        <w:spacing w:after="0" w:line="67"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energy surcharge was revised in the second quarter of 2023 to incorporate market prices for both diesel and compressed natural gas (“CNG”).</w:t>
      </w:r>
    </w:p>
    <w:p>
      <w:pPr>
        <w:spacing w:after="0" w:line="53"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herein represent the changes in our revenue attributable to average yield for the total Company.</w:t>
      </w:r>
    </w:p>
    <w:p>
      <w:pPr>
        <w:spacing w:after="0" w:line="117"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activities from our Corporate and Other businesses.</w:t>
      </w:r>
    </w:p>
    <w:p>
      <w:pPr>
        <w:spacing w:after="0" w:line="117"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provides further details about our period-to-period change in revenues:</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Average Yield</w:t>
      </w:r>
    </w:p>
    <w:p>
      <w:pPr>
        <w:spacing w:after="0" w:line="225"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Collection and Disposal Average Yield </w:t>
      </w:r>
      <w:r>
        <w:rPr>
          <w:rFonts w:ascii="Times New Roman" w:cs="Times New Roman" w:eastAsia="Times New Roman" w:hAnsi="Times New Roman"/>
          <w:sz w:val="18"/>
          <w:szCs w:val="18"/>
          <w:color w:val="auto"/>
        </w:rPr>
        <w:t>— This measure reflects the effect on our revenue from the pricing activities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collection, transfer and landfill operations, exclusive of volume changes. Revenue growth from Collection and Disposal average yield includes not only base rate changes and environmental and service fee fluctuations, but also</w:t>
      </w:r>
    </w:p>
    <w:p>
      <w:pPr>
        <w:spacing w:after="0" w:line="1" w:lineRule="exact"/>
        <w:rPr>
          <w:sz w:val="20"/>
          <w:szCs w:val="20"/>
          <w:color w:val="auto"/>
        </w:rPr>
      </w:pPr>
    </w:p>
    <w:p>
      <w:pPr>
        <w:ind w:left="280" w:hanging="230"/>
        <w:spacing w:after="0"/>
        <w:tabs>
          <w:tab w:leader="none" w:pos="2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average price changes related to the overall mix of services, which are due to the types of services provided;</w:t>
      </w:r>
    </w:p>
    <w:p>
      <w:pPr>
        <w:spacing w:after="0" w:line="9" w:lineRule="exact"/>
        <w:rPr>
          <w:rFonts w:ascii="Times New Roman" w:cs="Times New Roman" w:eastAsia="Times New Roman" w:hAnsi="Times New Roman"/>
          <w:sz w:val="18"/>
          <w:szCs w:val="18"/>
          <w:color w:val="auto"/>
        </w:rPr>
      </w:pPr>
    </w:p>
    <w:p>
      <w:pPr>
        <w:ind w:left="320" w:hanging="270"/>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average price from new and lost business and (iii) price decreases to retain customers.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31" w:name="page32"/>
    <w:bookmarkEnd w:id="31"/>
    <w:p>
      <w:pPr>
        <w:ind w:left="380"/>
        <w:spacing w:after="0"/>
        <w:rPr>
          <w:sz w:val="20"/>
          <w:szCs w:val="20"/>
          <w:color w:val="auto"/>
        </w:rPr>
      </w:pPr>
      <w:r>
        <w:rPr>
          <w:rFonts w:ascii="Times New Roman" w:cs="Times New Roman" w:eastAsia="Times New Roman" w:hAnsi="Times New Roman"/>
          <w:sz w:val="18"/>
          <w:szCs w:val="18"/>
          <w:color w:val="auto"/>
        </w:rPr>
        <w:t>The details of our revenue growth from Collection and Disposal average yield are as follows (dollars in millions):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2320" w:type="dxa"/>
            <w:vAlign w:val="bottom"/>
            <w:gridSpan w:val="5"/>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Period-to-Period Change for the</w:t>
            </w:r>
          </w:p>
        </w:tc>
        <w:tc>
          <w:tcPr>
            <w:tcW w:w="2260" w:type="dxa"/>
            <w:vAlign w:val="bottom"/>
            <w:gridSpan w:val="5"/>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Period-to-Period Change for the</w:t>
            </w:r>
          </w:p>
        </w:tc>
      </w:tr>
      <w:tr>
        <w:trPr>
          <w:trHeight w:val="148"/>
        </w:trPr>
        <w:tc>
          <w:tcPr>
            <w:tcW w:w="4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80" w:type="dxa"/>
            <w:vAlign w:val="bottom"/>
            <w:gridSpan w:val="4"/>
          </w:tcPr>
          <w:p>
            <w:pPr>
              <w:jc w:val="center"/>
              <w:ind w:right="290"/>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2"/>
                <w:szCs w:val="12"/>
                <w:color w:val="auto"/>
              </w:rPr>
            </w:pPr>
          </w:p>
        </w:tc>
        <w:tc>
          <w:tcPr>
            <w:tcW w:w="2120" w:type="dxa"/>
            <w:vAlign w:val="bottom"/>
            <w:gridSpan w:val="4"/>
          </w:tcPr>
          <w:p>
            <w:pPr>
              <w:jc w:val="center"/>
              <w:ind w:right="210"/>
              <w:spacing w:after="0" w:line="149" w:lineRule="exact"/>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4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80" w:type="dxa"/>
            <w:vAlign w:val="bottom"/>
            <w:gridSpan w:val="4"/>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June 30, 2024 vs. 2023</w:t>
            </w:r>
          </w:p>
        </w:tc>
        <w:tc>
          <w:tcPr>
            <w:tcW w:w="140" w:type="dxa"/>
            <w:vAlign w:val="bottom"/>
          </w:tcPr>
          <w:p>
            <w:pPr>
              <w:spacing w:after="0"/>
              <w:rPr>
                <w:sz w:val="15"/>
                <w:szCs w:val="15"/>
                <w:color w:val="auto"/>
              </w:rPr>
            </w:pPr>
          </w:p>
        </w:tc>
        <w:tc>
          <w:tcPr>
            <w:tcW w:w="2120" w:type="dxa"/>
            <w:vAlign w:val="bottom"/>
            <w:gridSpan w:val="4"/>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June 30, 2024 vs. 2023</w:t>
            </w:r>
          </w:p>
        </w:tc>
      </w:tr>
      <w:tr>
        <w:trPr>
          <w:trHeight w:val="117"/>
        </w:trPr>
        <w:tc>
          <w:tcPr>
            <w:tcW w:w="43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2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180" w:type="dxa"/>
            <w:vAlign w:val="bottom"/>
          </w:tcPr>
          <w:p>
            <w:pPr>
              <w:spacing w:after="0"/>
              <w:rPr>
                <w:sz w:val="10"/>
                <w:szCs w:val="10"/>
                <w:color w:val="auto"/>
              </w:rPr>
            </w:pPr>
          </w:p>
        </w:tc>
      </w:tr>
      <w:tr>
        <w:trPr>
          <w:trHeight w:val="176"/>
        </w:trPr>
        <w:tc>
          <w:tcPr>
            <w:tcW w:w="4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gridSpan w:val="2"/>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Related</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gridSpan w:val="2"/>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Related</w:t>
            </w:r>
          </w:p>
        </w:tc>
      </w:tr>
      <w:tr>
        <w:trPr>
          <w:trHeight w:val="173"/>
        </w:trPr>
        <w:tc>
          <w:tcPr>
            <w:tcW w:w="4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5"/>
                <w:szCs w:val="15"/>
                <w:color w:val="auto"/>
              </w:rPr>
            </w:pPr>
          </w:p>
        </w:tc>
        <w:tc>
          <w:tcPr>
            <w:tcW w:w="1160" w:type="dxa"/>
            <w:vAlign w:val="bottom"/>
            <w:gridSpan w:val="2"/>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140" w:type="dxa"/>
            <w:vAlign w:val="bottom"/>
          </w:tcPr>
          <w:p>
            <w:pPr>
              <w:spacing w:after="0"/>
              <w:rPr>
                <w:sz w:val="15"/>
                <w:szCs w:val="15"/>
                <w:color w:val="auto"/>
              </w:rPr>
            </w:pPr>
          </w:p>
        </w:tc>
        <w:tc>
          <w:tcPr>
            <w:tcW w:w="74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5"/>
                <w:szCs w:val="15"/>
                <w:color w:val="auto"/>
              </w:rPr>
            </w:pPr>
          </w:p>
        </w:tc>
        <w:tc>
          <w:tcPr>
            <w:tcW w:w="1080" w:type="dxa"/>
            <w:vAlign w:val="bottom"/>
            <w:gridSpan w:val="2"/>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Business</w:t>
            </w:r>
          </w:p>
        </w:tc>
      </w:tr>
      <w:tr>
        <w:trPr>
          <w:trHeight w:val="209"/>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3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tcPr>
          <w:p>
            <w:pPr>
              <w:spacing w:after="0"/>
              <w:rPr>
                <w:sz w:val="18"/>
                <w:szCs w:val="18"/>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shd w:val="clear" w:color="auto" w:fill="CCEEFF"/>
          </w:tcPr>
          <w:p>
            <w:pPr>
              <w:spacing w:after="0"/>
              <w:rPr>
                <w:sz w:val="18"/>
                <w:szCs w:val="18"/>
                <w:color w:val="auto"/>
              </w:rPr>
            </w:pPr>
          </w:p>
        </w:tc>
      </w:tr>
      <w:tr>
        <w:trPr>
          <w:trHeight w:val="209"/>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collection</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2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tcPr>
          <w:p>
            <w:pPr>
              <w:spacing w:after="0"/>
              <w:rPr>
                <w:sz w:val="18"/>
                <w:szCs w:val="18"/>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Landfill</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CEEFF"/>
          </w:tcPr>
          <w:p>
            <w:pPr>
              <w:spacing w:after="0"/>
              <w:rPr>
                <w:sz w:val="18"/>
                <w:szCs w:val="18"/>
                <w:color w:val="auto"/>
              </w:rPr>
            </w:pPr>
          </w:p>
        </w:tc>
      </w:tr>
      <w:tr>
        <w:trPr>
          <w:trHeight w:val="216"/>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Transfer</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0" w:type="dxa"/>
            <w:vAlign w:val="bottom"/>
            <w:tcBorders>
              <w:bottom w:val="single" w:sz="8" w:color="CCEEFF"/>
            </w:tcBorders>
            <w:gridSpan w:val="2"/>
          </w:tcPr>
          <w:p>
            <w:pPr>
              <w:ind w:left="940"/>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0" w:type="dxa"/>
            <w:vAlign w:val="bottom"/>
            <w:tcBorders>
              <w:bottom w:val="single" w:sz="8" w:color="CCEEFF"/>
            </w:tcBorders>
            <w:gridSpan w:val="2"/>
          </w:tcPr>
          <w:p>
            <w:pPr>
              <w:ind w:left="940"/>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tcBorders>
              <w:bottom w:val="single" w:sz="8" w:color="CCEEFF"/>
            </w:tcBorders>
          </w:tcPr>
          <w:p>
            <w:pPr>
              <w:spacing w:after="0"/>
              <w:rPr>
                <w:sz w:val="18"/>
                <w:szCs w:val="18"/>
                <w:color w:val="auto"/>
              </w:rPr>
            </w:pPr>
          </w:p>
        </w:tc>
      </w:tr>
      <w:tr>
        <w:trPr>
          <w:trHeight w:val="210"/>
        </w:trPr>
        <w:tc>
          <w:tcPr>
            <w:tcW w:w="4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440" w:type="dxa"/>
            <w:vAlign w:val="bottom"/>
            <w:tcBorders>
              <w:bottom w:val="single" w:sz="8" w:color="CCEEFF"/>
            </w:tcBorders>
            <w:gridSpan w:val="3"/>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4.6 %</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380" w:type="dxa"/>
            <w:vAlign w:val="bottom"/>
            <w:tcBorders>
              <w:bottom w:val="single" w:sz="8" w:color="CCEEFF"/>
            </w:tcBorders>
            <w:gridSpan w:val="3"/>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99"/>
              </w:rPr>
              <w:t>4.8 %</w:t>
            </w:r>
          </w:p>
        </w:tc>
      </w:tr>
      <w:tr>
        <w:trPr>
          <w:trHeight w:val="20"/>
        </w:trPr>
        <w:tc>
          <w:tcPr>
            <w:tcW w:w="4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Our overall pricing efforts are focused on keeping pace with the increasing costs and capital needs of our business. Average yield growth in our collection line of business was 5.7% and 5.9% for the three and six months ended June 30, 2024, respectively. We are also continuing to see growth in our disposal business with average yield in our municipal solid waste business of 2.1% and 3.2% for the three and six months ended June 30, 2024, respectively.</w:t>
      </w:r>
    </w:p>
    <w:p>
      <w:pPr>
        <w:spacing w:after="0" w:line="178"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Recycling Processing and Sales and WM Renewable Energy </w:t>
      </w:r>
      <w:r>
        <w:rPr>
          <w:rFonts w:ascii="Times New Roman" w:cs="Times New Roman" w:eastAsia="Times New Roman" w:hAnsi="Times New Roman"/>
          <w:sz w:val="18"/>
          <w:szCs w:val="18"/>
          <w:color w:val="auto"/>
        </w:rPr>
        <w:t>— Recycling Processing and Sales revenues attributable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yield increased $60 million and $118 million for the three and six months ended June 30, 2024, as compared with prior year periods. Average market prices for single-stream recycled commodities increased nearly 60% for the three and six months ended June 30, 2024, as compared with the prior year periods. Yield from the WM Renewable Energy segment increased $7 million and $9 million for the three and six months ended June 30, 2024, as compared with the prior year periods, primarily driven by increases in Renewable Identification Numbers (“RINs”) values. While there may be short-term fluctuations in our commodity-driven businesses as prices change, we believe that our business models and processes appropriately protect against the downside risk of changes in commodity prices.</w:t>
      </w:r>
    </w:p>
    <w:p>
      <w:pPr>
        <w:spacing w:after="0" w:line="185"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Energy Surcharge and Mandated Fees — </w:t>
      </w:r>
      <w:r>
        <w:rPr>
          <w:rFonts w:ascii="Times New Roman" w:cs="Times New Roman" w:eastAsia="Times New Roman" w:hAnsi="Times New Roman"/>
          <w:sz w:val="18"/>
          <w:szCs w:val="18"/>
          <w:color w:val="auto"/>
        </w:rPr>
        <w:t>These fees, which include our energy surcharge program and other mandated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fees, decreased $8 million and $36 million for the three and six months ended June 30, 2024, respectively, as compared with the prior year periods. Beginning in the second quarter of 2023, our energy surcharge was revised to incorporate market prices for both diesel and CNG. The decrease in energy surcharge revenues is primarily due to a decline of approximately 2% and 6% in market prices for diesel fuel for the three and six months ended June 30, 2024, respectively, as compared to the prior year periods. The mandated fees are primarily related to fees and taxes assessed by various state, county and municipal government agencies at our landfills and transfer stations. These amounts have not significantly impacted the change in revenue for the three and six months ended June 30, 2024, respectively, as compared with the prior year periods.</w:t>
      </w:r>
    </w:p>
    <w:p>
      <w:pPr>
        <w:spacing w:after="0" w:line="1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Volume</w:t>
      </w:r>
    </w:p>
    <w:p>
      <w:pPr>
        <w:spacing w:after="0" w:line="22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Our revenues from volume (excluding volumes from acquisitions and divestitures) increased $5 million and $3 million for the three and six months ended June 30, 2024, respectively, as compared with the prior year periods. We have experienced volume increases in special waste projects at landfills, recycling, and our WMSBS business as a result of our continued focus on a differentiated service model for national accounts customers. However, these increases were largely offset by a decline in our industrial and residential collection volumes. Furthermore, our construction and demolition landfill volumes have declined due to the clean-up efforts in our East Tier from Hurricane Ian in the prior year.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32" w:name="page33"/>
    <w:bookmarkEnd w:id="32"/>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major components of our operating expenses (in millions of dollars and as a percentage of revenues):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20" w:type="dxa"/>
            <w:vAlign w:val="bottom"/>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73"/>
        </w:trPr>
        <w:tc>
          <w:tcPr>
            <w:tcW w:w="3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42"/>
        </w:trPr>
        <w:tc>
          <w:tcPr>
            <w:tcW w:w="3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r>
      <w:tr>
        <w:trPr>
          <w:trHeight w:val="42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 and related benefits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17.1 %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18.0 %</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$ 1,818</w:t>
            </w:r>
          </w:p>
        </w:tc>
        <w:tc>
          <w:tcPr>
            <w:tcW w:w="1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17.2 %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$ 1,837</w:t>
            </w:r>
          </w:p>
        </w:tc>
        <w:tc>
          <w:tcPr>
            <w:tcW w:w="14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18.4 %</w:t>
            </w:r>
          </w:p>
        </w:tc>
      </w:tr>
      <w:tr>
        <w:trPr>
          <w:trHeight w:val="216"/>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 and disposal costs</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tcPr>
          <w:p>
            <w:pPr>
              <w:spacing w:after="0"/>
              <w:rPr>
                <w:sz w:val="18"/>
                <w:szCs w:val="18"/>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Maintenance and repairs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rPr>
                <w:sz w:val="18"/>
                <w:szCs w:val="18"/>
                <w:color w:val="auto"/>
              </w:rPr>
            </w:pPr>
          </w:p>
        </w:tc>
      </w:tr>
      <w:tr>
        <w:trPr>
          <w:trHeight w:val="432"/>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Subcontractor costs</w:t>
            </w:r>
          </w:p>
        </w:tc>
        <w:tc>
          <w:tcPr>
            <w:tcW w:w="1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3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tcPr>
          <w:p>
            <w:pPr>
              <w:spacing w:after="0"/>
              <w:rPr>
                <w:sz w:val="24"/>
                <w:szCs w:val="24"/>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shd w:val="clear" w:color="auto" w:fill="CCEEFF"/>
          </w:tcPr>
          <w:p>
            <w:pPr>
              <w:spacing w:after="0"/>
              <w:rPr>
                <w:sz w:val="18"/>
                <w:szCs w:val="18"/>
                <w:color w:val="auto"/>
              </w:rPr>
            </w:pPr>
          </w:p>
        </w:tc>
      </w:tr>
      <w:tr>
        <w:trPr>
          <w:trHeight w:val="216"/>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spacing w:after="0"/>
              <w:rPr>
                <w:sz w:val="18"/>
                <w:szCs w:val="18"/>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Disposal and franchise fees and taxes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shd w:val="clear" w:color="auto" w:fill="CCEEFF"/>
          </w:tcPr>
          <w:p>
            <w:pPr>
              <w:spacing w:after="0"/>
              <w:rPr>
                <w:sz w:val="18"/>
                <w:szCs w:val="18"/>
                <w:color w:val="auto"/>
              </w:rPr>
            </w:pPr>
          </w:p>
        </w:tc>
      </w:tr>
      <w:tr>
        <w:trPr>
          <w:trHeight w:val="216"/>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Landfill operating costs</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8"/>
                <w:szCs w:val="18"/>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 management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CEEFF"/>
          </w:tcPr>
          <w:p>
            <w:pPr>
              <w:spacing w:after="0"/>
              <w:rPr>
                <w:sz w:val="18"/>
                <w:szCs w:val="18"/>
                <w:color w:val="auto"/>
              </w:rPr>
            </w:pPr>
          </w:p>
        </w:tc>
      </w:tr>
      <w:tr>
        <w:trPr>
          <w:trHeight w:val="216"/>
        </w:trPr>
        <w:tc>
          <w:tcPr>
            <w:tcW w:w="3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Borders>
              <w:bottom w:val="single" w:sz="8" w:color="CCEEFF"/>
            </w:tcBorders>
          </w:tcPr>
          <w:p>
            <w:pPr>
              <w:spacing w:after="0"/>
              <w:rPr>
                <w:sz w:val="18"/>
                <w:szCs w:val="18"/>
                <w:color w:val="auto"/>
              </w:rPr>
            </w:pPr>
          </w:p>
        </w:tc>
      </w:tr>
      <w:tr>
        <w:trPr>
          <w:trHeight w:val="426"/>
        </w:trPr>
        <w:tc>
          <w:tcPr>
            <w:tcW w:w="316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3,291</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60.9 %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3,186</w:t>
            </w:r>
          </w:p>
        </w:tc>
        <w:tc>
          <w:tcPr>
            <w:tcW w:w="1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62.2 %</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$ 6,431</w:t>
            </w:r>
          </w:p>
        </w:tc>
        <w:tc>
          <w:tcPr>
            <w:tcW w:w="1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60.9 %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$ 6,272</w:t>
            </w:r>
          </w:p>
        </w:tc>
        <w:tc>
          <w:tcPr>
            <w:tcW w:w="14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62.7 %</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operating expenses increased primarily due to (i) higher recycling rebates from an increase in the market value of the commodities we process; (ii) an increase in volumes in our WMSBS business, which relies more extensively on subcontracted hauling and services than our Collection and Disposal businesses; (iii) an increase in landfill operating costs, largely due to wet weather driving leachate costs higher, and (iv) an increase in risk management costs. These increases were offset, in part, by (i) lower diesel fuel prices and (ii) improved operating efficiency and cost control initiatives in our Collection and Disposal businesses. Although our operating expenses increased overall, efficiency gains, improved employee retention, and momentum in truck deliveries positioned us to significantly reduce our operating expenses as a percentage of revenue when compared to the prior year periods.</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Significant items affecting the comparison of operating expenses for the reported periods include:</w:t>
      </w:r>
    </w:p>
    <w:p>
      <w:pPr>
        <w:spacing w:after="0" w:line="223"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Labor and Related Benefits </w:t>
      </w:r>
      <w:r>
        <w:rPr>
          <w:rFonts w:ascii="Times New Roman" w:cs="Times New Roman" w:eastAsia="Times New Roman" w:hAnsi="Times New Roman"/>
          <w:sz w:val="18"/>
          <w:szCs w:val="18"/>
          <w:color w:val="auto"/>
        </w:rPr>
        <w:t>— The slight increase in labor and related benefits costs for the three months ended June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2024, as compared to the three months ended June 30, 2023, was primarily driven by annual employee wage increases, offset, in part, by (i) lower headcount; (ii) decreased overtime and (iii) a reduction in training hours. The decrease in labor and related benefits costs for the six months ended June 30, 2024, as compared to the six months ended June 30, 2023, was primarily driven by (i) lower headcount; (ii) decreased overtime and (iii) a significant reduction in training hours. Improved driver retention was an important contributing factor to accomplish this result. The efficiency and turnover driven decreases in costs were offset, in part, by annual employee wage increases.</w:t>
      </w:r>
    </w:p>
    <w:p>
      <w:pPr>
        <w:spacing w:after="0" w:line="183"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Transfer and Disposal Costs </w:t>
      </w:r>
      <w:r>
        <w:rPr>
          <w:rFonts w:ascii="Times New Roman" w:cs="Times New Roman" w:eastAsia="Times New Roman" w:hAnsi="Times New Roman"/>
          <w:sz w:val="18"/>
          <w:szCs w:val="18"/>
          <w:color w:val="auto"/>
        </w:rPr>
        <w:t>— The increase in transfer and disposal costs was primarily due to inflationary cost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increases, which includes increased disposal fees at third-party sites and higher rates from our third-party haulers offset, in part, by decreases in industrial and residential collection volumes.</w:t>
      </w:r>
    </w:p>
    <w:p>
      <w:pPr>
        <w:spacing w:after="0" w:line="173"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Maintenance and Repairs </w:t>
      </w:r>
      <w:r>
        <w:rPr>
          <w:rFonts w:ascii="Times New Roman" w:cs="Times New Roman" w:eastAsia="Times New Roman" w:hAnsi="Times New Roman"/>
          <w:sz w:val="18"/>
          <w:szCs w:val="18"/>
          <w:color w:val="auto"/>
        </w:rPr>
        <w:t>— The increase in maintenance and repairs costs was primarily driven by inflationary cost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increases for parts, supplies and third-party services, although the impact of such inflationary cost increases has moderated from the high levels observed during the first half of 2023. These cost increases were offset in part by an improvement in new truck deliveries, which lowered average fleet age and reduced demand for third-party services, parts and supplies and has resulted in improvements in operational efficiencies.</w:t>
      </w:r>
    </w:p>
    <w:p>
      <w:pPr>
        <w:spacing w:after="0" w:line="183"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Subcontractor Costs </w:t>
      </w:r>
      <w:r>
        <w:rPr>
          <w:rFonts w:ascii="Times New Roman" w:cs="Times New Roman" w:eastAsia="Times New Roman" w:hAnsi="Times New Roman"/>
          <w:sz w:val="18"/>
          <w:szCs w:val="18"/>
          <w:color w:val="auto"/>
        </w:rPr>
        <w:t>— The increase in subcontractor costs was primarily due to (i) an increase in volumes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WMSBS business, which relies more extensively on subcontracted hauling and services than our Collection and Disposal businesses and (ii) continued inflationary cost increases, particularly labor costs from third-party haulers although this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33" w:name="page34"/>
    <w:bookmarkEnd w:id="33"/>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impact has moderated from the high levels observed during the first half of 2023. These increases were offset, in part, by the impact of lower fuel prices on third-party subcontracted hauling and services.</w:t>
      </w:r>
    </w:p>
    <w:p>
      <w:pPr>
        <w:spacing w:after="0" w:line="160" w:lineRule="exact"/>
        <w:rPr>
          <w:sz w:val="20"/>
          <w:szCs w:val="20"/>
          <w:color w:val="auto"/>
        </w:rPr>
      </w:pPr>
    </w:p>
    <w:p>
      <w:pPr>
        <w:jc w:val="both"/>
        <w:ind w:left="60" w:right="7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Cost of Goods Sold </w:t>
      </w:r>
      <w:r>
        <w:rPr>
          <w:rFonts w:ascii="Times New Roman" w:cs="Times New Roman" w:eastAsia="Times New Roman" w:hAnsi="Times New Roman"/>
          <w:sz w:val="18"/>
          <w:szCs w:val="18"/>
          <w:color w:val="auto"/>
        </w:rPr>
        <w:t>— The increase in cost of goods sold was primarily driven by a nearly 60% increase in recycling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commodity prices as compared to the prior year periods.</w:t>
      </w:r>
    </w:p>
    <w:p>
      <w:pPr>
        <w:spacing w:after="0" w:line="158"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Fuel </w:t>
      </w:r>
      <w:r>
        <w:rPr>
          <w:rFonts w:ascii="Times New Roman" w:cs="Times New Roman" w:eastAsia="Times New Roman" w:hAnsi="Times New Roman"/>
          <w:sz w:val="18"/>
          <w:szCs w:val="18"/>
          <w:color w:val="auto"/>
        </w:rPr>
        <w:t>— The decrease in fuel costs was primarily due to a decrease of approximately 2% and 6% in market prices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diesel fuel during the three and six months ended June 30, 2024, respectively, as compared to the prior year periods.</w:t>
      </w:r>
    </w:p>
    <w:p>
      <w:pPr>
        <w:spacing w:after="0" w:line="158"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Disposal and Franchise Fees and Taxes </w:t>
      </w:r>
      <w:r>
        <w:rPr>
          <w:rFonts w:ascii="Times New Roman" w:cs="Times New Roman" w:eastAsia="Times New Roman" w:hAnsi="Times New Roman"/>
          <w:sz w:val="18"/>
          <w:szCs w:val="18"/>
          <w:color w:val="auto"/>
        </w:rPr>
        <w:t>— The slight decrease in disposal and franchise fees and taxes was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driven by a decrease in disposal tons at certain West Tier landfills.</w:t>
      </w:r>
    </w:p>
    <w:p>
      <w:pPr>
        <w:spacing w:after="0" w:line="158"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Landfill Operating Costs </w:t>
      </w:r>
      <w:r>
        <w:rPr>
          <w:rFonts w:ascii="Times New Roman" w:cs="Times New Roman" w:eastAsia="Times New Roman" w:hAnsi="Times New Roman"/>
          <w:sz w:val="18"/>
          <w:szCs w:val="18"/>
          <w:color w:val="auto"/>
        </w:rPr>
        <w:t>— The increase in landfill operating costs was primarily due to (i) leachate collection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treatment which can largely be attributed to particularly wet weather in the first half of 2024 in certain markets; (ii) methane collection and treatment and (iii) site maintenance. Additionally, certain adjustments to our environmental remediation reserve during the first quarter of 2024 increased costs for the six months ended June 30, 2024, as compared to the prior year period.</w:t>
      </w:r>
    </w:p>
    <w:p>
      <w:pPr>
        <w:spacing w:after="0" w:line="183"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Risk Management </w:t>
      </w:r>
      <w:r>
        <w:rPr>
          <w:rFonts w:ascii="Times New Roman" w:cs="Times New Roman" w:eastAsia="Times New Roman" w:hAnsi="Times New Roman"/>
          <w:sz w:val="18"/>
          <w:szCs w:val="18"/>
          <w:color w:val="auto"/>
        </w:rPr>
        <w:t>— Risk management costs increased primarily due to (i) adjustments to our reserves for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large loss claims and (ii) increases in premiums for property coverage. These increases were offset, in part, by current quarter insurance recoveries for property claims associated with a hurricane in 2023.</w:t>
      </w:r>
    </w:p>
    <w:p>
      <w:pPr>
        <w:spacing w:after="0" w:line="173" w:lineRule="exact"/>
        <w:rPr>
          <w:sz w:val="20"/>
          <w:szCs w:val="20"/>
          <w:color w:val="auto"/>
        </w:rPr>
      </w:pPr>
    </w:p>
    <w:p>
      <w:pPr>
        <w:jc w:val="both"/>
        <w:ind w:left="60" w:right="59" w:firstLine="324"/>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 Other operating cost decreases were primarily due to (i) gains on the sale of real estate in 2024; (ii) lower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rental costs attributable, in part, to improved truck deliveries in late 2023 and during the first half of 2024 and</w:t>
      </w:r>
    </w:p>
    <w:p>
      <w:pPr>
        <w:jc w:val="both"/>
        <w:ind w:left="60" w:right="59" w:hanging="10"/>
        <w:spacing w:after="0" w:line="255" w:lineRule="auto"/>
        <w:tabs>
          <w:tab w:leader="none" w:pos="40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costs during the first quarter of 2023 attributable to a labor dispute which did not recur in 2024. These decreases were offset, in part, by (i) a favorable litigation settlement during the first quarter of 2023, which reduced our expense; and (ii) an increase in property taxes.</w:t>
      </w:r>
    </w:p>
    <w:p>
      <w:pPr>
        <w:spacing w:after="0" w:line="1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major components of our selling, general and administrative expenses (in millions of dollars and as a percentage of revenues):</w:t>
      </w:r>
    </w:p>
    <w:p>
      <w:pPr>
        <w:spacing w:after="0" w:line="4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60" w:type="dxa"/>
            <w:vAlign w:val="bottom"/>
            <w:gridSpan w:val="7"/>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0" w:type="dxa"/>
            <w:vAlign w:val="bottom"/>
            <w:gridSpan w:val="6"/>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3"/>
        </w:trPr>
        <w:tc>
          <w:tcPr>
            <w:tcW w:w="2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2960" w:type="dxa"/>
            <w:vAlign w:val="bottom"/>
            <w:tcBorders>
              <w:bottom w:val="single" w:sz="8" w:color="CCEEFF"/>
            </w:tcBorders>
          </w:tcPr>
          <w:p>
            <w:pPr>
              <w:spacing w:after="0"/>
              <w:rPr>
                <w:sz w:val="12"/>
                <w:szCs w:val="12"/>
                <w:color w:val="auto"/>
              </w:rPr>
            </w:pPr>
          </w:p>
        </w:tc>
        <w:tc>
          <w:tcPr>
            <w:tcW w:w="110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r>
      <w:tr>
        <w:trPr>
          <w:trHeight w:val="425"/>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 and related benefits</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$ 316</w:t>
            </w:r>
          </w:p>
        </w:tc>
        <w:tc>
          <w:tcPr>
            <w:tcW w:w="160" w:type="dxa"/>
            <w:vAlign w:val="bottom"/>
            <w:shd w:val="clear" w:color="auto" w:fill="CCEEFF"/>
          </w:tcPr>
          <w:p>
            <w:pPr>
              <w:spacing w:after="0"/>
              <w:rPr>
                <w:sz w:val="24"/>
                <w:szCs w:val="24"/>
                <w:color w:val="auto"/>
              </w:rPr>
            </w:pPr>
          </w:p>
        </w:tc>
        <w:tc>
          <w:tcPr>
            <w:tcW w:w="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5.9 %</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$ 293</w:t>
            </w:r>
          </w:p>
        </w:tc>
        <w:tc>
          <w:tcPr>
            <w:tcW w:w="160" w:type="dxa"/>
            <w:vAlign w:val="bottom"/>
            <w:shd w:val="clear" w:color="auto" w:fill="CCEEFF"/>
          </w:tcPr>
          <w:p>
            <w:pPr>
              <w:spacing w:after="0"/>
              <w:rPr>
                <w:sz w:val="24"/>
                <w:szCs w:val="24"/>
                <w:color w:val="auto"/>
              </w:rPr>
            </w:pPr>
          </w:p>
        </w:tc>
        <w:tc>
          <w:tcPr>
            <w:tcW w:w="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5.7 %</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$ 637</w:t>
            </w:r>
          </w:p>
        </w:tc>
        <w:tc>
          <w:tcPr>
            <w:tcW w:w="160" w:type="dxa"/>
            <w:vAlign w:val="bottom"/>
            <w:shd w:val="clear" w:color="auto" w:fill="CCEEFF"/>
          </w:tcPr>
          <w:p>
            <w:pPr>
              <w:spacing w:after="0"/>
              <w:rPr>
                <w:sz w:val="24"/>
                <w:szCs w:val="24"/>
                <w:color w:val="auto"/>
              </w:rPr>
            </w:pPr>
          </w:p>
        </w:tc>
        <w:tc>
          <w:tcPr>
            <w:tcW w:w="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6.0 %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$ 605</w:t>
            </w:r>
          </w:p>
        </w:tc>
        <w:tc>
          <w:tcPr>
            <w:tcW w:w="14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6.0 %</w:t>
            </w:r>
          </w:p>
        </w:tc>
      </w:tr>
      <w:tr>
        <w:trPr>
          <w:trHeight w:val="432"/>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tcPr>
          <w:p>
            <w:pPr>
              <w:spacing w:after="0"/>
              <w:rPr>
                <w:sz w:val="24"/>
                <w:szCs w:val="24"/>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Pr>
          <w:p>
            <w:pPr>
              <w:spacing w:after="0"/>
              <w:rPr>
                <w:sz w:val="24"/>
                <w:szCs w:val="24"/>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60" w:type="dxa"/>
            <w:vAlign w:val="bottom"/>
          </w:tcPr>
          <w:p>
            <w:pPr>
              <w:spacing w:after="0"/>
              <w:rPr>
                <w:sz w:val="24"/>
                <w:szCs w:val="24"/>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24"/>
                <w:szCs w:val="24"/>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24"/>
                <w:szCs w:val="24"/>
                <w:color w:val="auto"/>
              </w:rPr>
            </w:pP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bad debts</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shd w:val="clear" w:color="auto" w:fill="CCEEFF"/>
          </w:tcPr>
          <w:p>
            <w:pPr>
              <w:spacing w:after="0"/>
              <w:rPr>
                <w:sz w:val="18"/>
                <w:szCs w:val="18"/>
                <w:color w:val="auto"/>
              </w:rPr>
            </w:pPr>
          </w:p>
        </w:tc>
      </w:tr>
      <w:tr>
        <w:trPr>
          <w:trHeight w:val="432"/>
        </w:trPr>
        <w:tc>
          <w:tcPr>
            <w:tcW w:w="2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6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4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Borders>
              <w:bottom w:val="single" w:sz="8" w:color="CCEEFF"/>
            </w:tcBorders>
          </w:tcPr>
          <w:p>
            <w:pPr>
              <w:spacing w:after="0"/>
              <w:rPr>
                <w:sz w:val="24"/>
                <w:szCs w:val="24"/>
                <w:color w:val="auto"/>
              </w:rPr>
            </w:pPr>
          </w:p>
        </w:tc>
      </w:tr>
      <w:tr>
        <w:trPr>
          <w:trHeight w:val="425"/>
        </w:trPr>
        <w:tc>
          <w:tcPr>
            <w:tcW w:w="296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$ 501</w:t>
            </w:r>
          </w:p>
        </w:tc>
        <w:tc>
          <w:tcPr>
            <w:tcW w:w="160" w:type="dxa"/>
            <w:vAlign w:val="bottom"/>
            <w:shd w:val="clear" w:color="auto" w:fill="CCEEFF"/>
          </w:tcPr>
          <w:p>
            <w:pPr>
              <w:spacing w:after="0"/>
              <w:rPr>
                <w:sz w:val="24"/>
                <w:szCs w:val="24"/>
                <w:color w:val="auto"/>
              </w:rPr>
            </w:pPr>
          </w:p>
        </w:tc>
        <w:tc>
          <w:tcPr>
            <w:tcW w:w="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9.3 %</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$ 467</w:t>
            </w:r>
          </w:p>
        </w:tc>
        <w:tc>
          <w:tcPr>
            <w:tcW w:w="160" w:type="dxa"/>
            <w:vAlign w:val="bottom"/>
            <w:shd w:val="clear" w:color="auto" w:fill="CCEEFF"/>
          </w:tcPr>
          <w:p>
            <w:pPr>
              <w:spacing w:after="0"/>
              <w:rPr>
                <w:sz w:val="24"/>
                <w:szCs w:val="24"/>
                <w:color w:val="auto"/>
              </w:rPr>
            </w:pPr>
          </w:p>
        </w:tc>
        <w:tc>
          <w:tcPr>
            <w:tcW w:w="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9.1 %</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$ 992</w:t>
            </w:r>
          </w:p>
        </w:tc>
        <w:tc>
          <w:tcPr>
            <w:tcW w:w="160" w:type="dxa"/>
            <w:vAlign w:val="bottom"/>
            <w:shd w:val="clear" w:color="auto" w:fill="CCEEFF"/>
          </w:tcPr>
          <w:p>
            <w:pPr>
              <w:spacing w:after="0"/>
              <w:rPr>
                <w:sz w:val="24"/>
                <w:szCs w:val="24"/>
                <w:color w:val="auto"/>
              </w:rPr>
            </w:pPr>
          </w:p>
        </w:tc>
        <w:tc>
          <w:tcPr>
            <w:tcW w:w="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9.4 %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$ 943</w:t>
            </w:r>
          </w:p>
        </w:tc>
        <w:tc>
          <w:tcPr>
            <w:tcW w:w="14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9.4 %</w:t>
            </w: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increased for the three and six months ended June 30, 2024 primarily due to (i) increased labor costs from higher annual and long-term incentive compensation costs and annual wage increases; (ii) increased professional fees to support strategic initiatives, including our planned acquisition of Stericycle and (iii) increases in our bad debt expenses. Partially offsetting these increases was a decline in litigation costs.</w:t>
      </w:r>
    </w:p>
    <w:p>
      <w:pPr>
        <w:spacing w:after="0" w:line="72"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Significant items affecting the comparison of our selling, general and administrative expenses for the reported periods include:</w:t>
      </w:r>
    </w:p>
    <w:p>
      <w:pPr>
        <w:spacing w:after="0" w:line="16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Labor and Related Benefits </w:t>
      </w:r>
      <w:r>
        <w:rPr>
          <w:rFonts w:ascii="Times New Roman" w:cs="Times New Roman" w:eastAsia="Times New Roman" w:hAnsi="Times New Roman"/>
          <w:sz w:val="18"/>
          <w:szCs w:val="18"/>
          <w:color w:val="auto"/>
        </w:rPr>
        <w:t>— The increase in labor and related benefits costs was primarily related to (i) higher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and long-term incentive compensation costs and (ii) annual employee wage increases. These increases were partially offset by a reduction in the hourly workforce as we have leveraged automation and technology to address attrition, particularly in our customer experience function.</w:t>
      </w:r>
    </w:p>
    <w:p>
      <w:pPr>
        <w:sectPr>
          <w:pgSz w:w="11900" w:h="16838" w:orient="portrait"/>
          <w:cols w:equalWidth="0" w:num="1">
            <w:col w:w="9019"/>
          </w:cols>
          <w:pgMar w:left="1440" w:top="877"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type w:val="continuous"/>
        </w:sectPr>
      </w:pPr>
    </w:p>
    <w:bookmarkStart w:id="34" w:name="page35"/>
    <w:bookmarkEnd w:id="34"/>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Professional Fees </w:t>
      </w:r>
      <w:r>
        <w:rPr>
          <w:rFonts w:ascii="Times New Roman" w:cs="Times New Roman" w:eastAsia="Times New Roman" w:hAnsi="Times New Roman"/>
          <w:sz w:val="18"/>
          <w:szCs w:val="18"/>
          <w:color w:val="auto"/>
        </w:rPr>
        <w:t>— The increase in professional fees was related to legal, consulting and accounting costs incurred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 strategic initiatives, including our planned acquisition of Stericycle.</w:t>
      </w:r>
    </w:p>
    <w:p>
      <w:pPr>
        <w:spacing w:after="0" w:line="15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 The increase in costs for the six months ended June 30, 2024, as compared with the prior year period,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(i) miscellaneous credits and rebates received in 2023; (ii) accelerated timing of seminars and (iii) increased spend across multiple cost categories including, travel, bank charges, technology and telecommunications. These cost increases were partially offset by a decline in litigation costs.</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Depreciation, Depletion and Amortization Expenses</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our depreciation, depletion and amortization expenses (in millions of dollars and as a percentage of revenues):</w:t>
      </w:r>
    </w:p>
    <w:p>
      <w:pPr>
        <w:spacing w:after="0" w:line="4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40" w:type="dxa"/>
            <w:vAlign w:val="bottom"/>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73"/>
        </w:trPr>
        <w:tc>
          <w:tcPr>
            <w:tcW w:w="344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6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42"/>
        </w:trPr>
        <w:tc>
          <w:tcPr>
            <w:tcW w:w="344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r>
      <w:tr>
        <w:trPr>
          <w:trHeight w:val="191"/>
        </w:trPr>
        <w:tc>
          <w:tcPr>
            <w:tcW w:w="3440" w:type="dxa"/>
            <w:vAlign w:val="bottom"/>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Depreciation of tangible property and</w:t>
            </w: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34"/>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$ 312</w:t>
            </w: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5.8 %</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$ 303</w:t>
            </w: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4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r>
      <w:tr>
        <w:trPr>
          <w:trHeight w:val="432"/>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Depletion of landfill airspace</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Pr>
          <w:p>
            <w:pPr>
              <w:spacing w:after="0"/>
              <w:rPr>
                <w:sz w:val="24"/>
                <w:szCs w:val="24"/>
                <w:color w:val="auto"/>
              </w:rPr>
            </w:pPr>
          </w:p>
        </w:tc>
      </w:tr>
      <w:tr>
        <w:trPr>
          <w:trHeight w:val="216"/>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3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shd w:val="clear" w:color="auto" w:fill="CCEEFF"/>
          </w:tcPr>
          <w:p>
            <w:pPr>
              <w:spacing w:after="0"/>
              <w:rPr>
                <w:sz w:val="18"/>
                <w:szCs w:val="18"/>
                <w:color w:val="auto"/>
              </w:rPr>
            </w:pPr>
          </w:p>
        </w:tc>
      </w:tr>
      <w:tr>
        <w:trPr>
          <w:trHeight w:val="426"/>
        </w:trPr>
        <w:tc>
          <w:tcPr>
            <w:tcW w:w="34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$ 543</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7"/>
              </w:rPr>
              <w:t>10.1 %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$ 521</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7"/>
              </w:rPr>
              <w:t>10.2 %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6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1,026</w:t>
            </w:r>
          </w:p>
        </w:tc>
        <w:tc>
          <w:tcPr>
            <w:tcW w:w="14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10.2 %</w:t>
            </w:r>
          </w:p>
        </w:tc>
      </w:tr>
      <w:tr>
        <w:trPr>
          <w:trHeight w:val="20"/>
        </w:trPr>
        <w:tc>
          <w:tcPr>
            <w:tcW w:w="34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increase in depreciation of tangible property and equipment for the three and six months ended June 30, 2024 as compared to prior year periods was primarily driven by additional depreciation due to investments in capital assets to service our customers, such as trucks and machinery and equipment. The increase in depletion of landfill airspace for the three and six months ended June 30, 2024 as compared to the prior year period, was driven by changes in amortization rates from revisions in landfill estimates, partially offset by the closure of a previously reopened landfill in our East Tier and changes in amortization rates from revisions in landfill estimates.</w:t>
      </w:r>
    </w:p>
    <w:p>
      <w:pPr>
        <w:spacing w:after="0" w:line="18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(Gain) Loss from Divestitures, Asset Impairments and Unusual Items, Net</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(Gain) loss from divestitures, asset impairments and unusual items, net for the three and six months ended June 30, 2024 primarily relates to a $54 million charge required to increase the estimated fair value of a liability associated with the expected disposition of an investment the Company holds in a waste diversion technology business. This charge is reflected in our Corporate and Other measures within our segment reporting. (Gain) loss from divestitures, asset impairments and unusual items, net for the three and six months ended June 30, 2023 were not material.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5" w:right="1440" w:bottom="1440" w:gutter="0" w:footer="0" w:header="0"/>
        </w:sectPr>
      </w:pPr>
    </w:p>
    <w:bookmarkStart w:id="35" w:name="page36"/>
    <w:bookmarkEnd w:id="35"/>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Income from Operations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income from operations for our reportable segments (dollars in millions):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2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20" w:type="dxa"/>
            <w:vAlign w:val="bottom"/>
            <w:gridSpan w:val="4"/>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120" w:type="dxa"/>
            <w:vAlign w:val="bottom"/>
          </w:tcPr>
          <w:p>
            <w:pPr>
              <w:spacing w:after="0"/>
              <w:rPr>
                <w:sz w:val="13"/>
                <w:szCs w:val="13"/>
                <w:color w:val="auto"/>
              </w:rPr>
            </w:pPr>
          </w:p>
        </w:tc>
        <w:tc>
          <w:tcPr>
            <w:tcW w:w="1520" w:type="dxa"/>
            <w:vAlign w:val="bottom"/>
            <w:gridSpan w:val="4"/>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6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5"/>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32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4"/>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6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right"/>
              <w:ind w:right="56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2"/>
                <w:szCs w:val="12"/>
                <w:color w:val="auto"/>
              </w:rPr>
            </w:pPr>
          </w:p>
        </w:tc>
        <w:tc>
          <w:tcPr>
            <w:tcW w:w="600" w:type="dxa"/>
            <w:vAlign w:val="bottom"/>
            <w:tcBorders>
              <w:top w:val="single" w:sz="8" w:color="auto"/>
            </w:tcBorders>
          </w:tcPr>
          <w:p>
            <w:pPr>
              <w:jc w:val="right"/>
              <w:ind w:right="8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Collection and Disposal:</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East Tier</w:t>
            </w:r>
          </w:p>
        </w:tc>
        <w:tc>
          <w:tcPr>
            <w:tcW w:w="5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$ 1,346</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$ 1,130</w:t>
            </w:r>
          </w:p>
        </w:tc>
        <w:tc>
          <w:tcPr>
            <w:tcW w:w="1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19.1 %</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West Tier</w:t>
            </w: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6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6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4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60" w:type="dxa"/>
            <w:vAlign w:val="bottom"/>
            <w:tcBorders>
              <w:right w:val="single" w:sz="8" w:color="CCEEFF"/>
            </w:tcBorders>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Other Ancillary</w:t>
            </w:r>
          </w:p>
        </w:tc>
        <w:tc>
          <w:tcPr>
            <w:tcW w:w="4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Collection and Disposal</w:t>
            </w: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6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6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4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160" w:type="dxa"/>
            <w:vAlign w:val="bottom"/>
            <w:tcBorders>
              <w:right w:val="single" w:sz="8" w:color="CCEEFF"/>
            </w:tcBorders>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WM Renewable Energy</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24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2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6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6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6.9 %</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$ 2,025</w:t>
            </w:r>
          </w:p>
        </w:tc>
        <w:tc>
          <w:tcPr>
            <w:tcW w:w="160" w:type="dxa"/>
            <w:vAlign w:val="bottom"/>
            <w:tcBorders>
              <w:right w:val="single" w:sz="8" w:color="CCEEFF"/>
            </w:tcBorders>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$ 1,769</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14.5 %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7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Percentage of revenues</w:t>
            </w: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6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40" w:type="dxa"/>
            <w:vAlign w:val="bottom"/>
            <w:gridSpan w:val="3"/>
            <w:vMerge w:val="continue"/>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18.7</w:t>
            </w:r>
          </w:p>
        </w:tc>
        <w:tc>
          <w:tcPr>
            <w:tcW w:w="160" w:type="dxa"/>
            <w:vAlign w:val="bottom"/>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18.4</w:t>
            </w:r>
          </w:p>
        </w:tc>
        <w:tc>
          <w:tcPr>
            <w:tcW w:w="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6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19.2</w:t>
            </w:r>
          </w:p>
        </w:tc>
        <w:tc>
          <w:tcPr>
            <w:tcW w:w="160" w:type="dxa"/>
            <w:vAlign w:val="bottom"/>
            <w:vMerge w:val="continue"/>
          </w:tcPr>
          <w:p>
            <w:pPr>
              <w:spacing w:after="0"/>
              <w:rPr>
                <w:sz w:val="17"/>
                <w:szCs w:val="17"/>
                <w:color w:val="auto"/>
              </w:rPr>
            </w:pPr>
          </w:p>
        </w:tc>
        <w:tc>
          <w:tcPr>
            <w:tcW w:w="6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17.7</w:t>
            </w:r>
          </w:p>
        </w:tc>
        <w:tc>
          <w:tcPr>
            <w:tcW w:w="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*Percentage change does not provide a meaningful comparison.</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significant items affecting income from operations for our segments during the three and six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June 30, 2024, as compared with the prior year periods, are summarized below:</w:t>
      </w:r>
    </w:p>
    <w:p>
      <w:pPr>
        <w:spacing w:after="0" w:line="97" w:lineRule="exact"/>
        <w:rPr>
          <w:sz w:val="20"/>
          <w:szCs w:val="20"/>
          <w:color w:val="auto"/>
        </w:rPr>
      </w:pPr>
    </w:p>
    <w:p>
      <w:pPr>
        <w:jc w:val="both"/>
        <w:ind w:left="720" w:right="79" w:hanging="319"/>
        <w:spacing w:after="0" w:line="255"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Collection and Disposal </w:t>
      </w:r>
      <w:r>
        <w:rPr>
          <w:rFonts w:ascii="Times New Roman" w:cs="Times New Roman" w:eastAsia="Times New Roman" w:hAnsi="Times New Roman"/>
          <w:sz w:val="18"/>
          <w:szCs w:val="18"/>
          <w:color w:val="auto"/>
        </w:rPr>
        <w:t>— Income from operations in our Collection and Disposal businesses increased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our focus on price increases that keep pace with inflationary cost pressures in our business as well as intentional efforts to improve the efficiency and operating costs incurred to serve our customers. Additionally, in the second quarter of 2024, we recognized $30 million of gains on the sale of non-strategic assets, which were recognized as a reduction of operating expenses. These increases were partially offset by (i) a decline in industrial collection volumes primarily due to lower contributions from temporary activity such as construction projects; (ii) an increase in landfill operating costs; and (iii) increased depreciation expenses for our fleet, machinery and equipment as well as higher depletion costs at our landfills.</w:t>
      </w:r>
    </w:p>
    <w:p>
      <w:pPr>
        <w:spacing w:after="0" w:line="76" w:lineRule="exact"/>
        <w:rPr>
          <w:rFonts w:ascii="Times New Roman" w:cs="Times New Roman" w:eastAsia="Times New Roman" w:hAnsi="Times New Roman"/>
          <w:sz w:val="18"/>
          <w:szCs w:val="18"/>
          <w:color w:val="auto"/>
        </w:rPr>
      </w:pPr>
    </w:p>
    <w:p>
      <w:pPr>
        <w:jc w:val="both"/>
        <w:ind w:left="720" w:right="79" w:hanging="319"/>
        <w:spacing w:after="0" w:line="257"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Recycling Processing and Sales </w:t>
      </w:r>
      <w:r>
        <w:rPr>
          <w:rFonts w:ascii="Times New Roman" w:cs="Times New Roman" w:eastAsia="Times New Roman" w:hAnsi="Times New Roman"/>
          <w:sz w:val="18"/>
          <w:szCs w:val="18"/>
          <w:color w:val="auto"/>
        </w:rPr>
        <w:t>— The increase in income from operations in Recycling Processing and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due to (i) improved commodity pricing compared to prior year; (ii) a gain on sale of a non-strategic asset recognized as a reduction in operating expenses and (iii) benefits from our growth investments and cost management. These improvements were partially offset by the impact of higher facility shutdown costs incurred during our capital investment programs targeted at automating and upgrading our single stream recycling business across North America.</w:t>
      </w:r>
    </w:p>
    <w:p>
      <w:pPr>
        <w:spacing w:after="0" w:line="74" w:lineRule="exact"/>
        <w:rPr>
          <w:rFonts w:ascii="Times New Roman" w:cs="Times New Roman" w:eastAsia="Times New Roman" w:hAnsi="Times New Roman"/>
          <w:sz w:val="18"/>
          <w:szCs w:val="18"/>
          <w:color w:val="auto"/>
        </w:rPr>
      </w:pPr>
    </w:p>
    <w:p>
      <w:pPr>
        <w:jc w:val="both"/>
        <w:ind w:left="720" w:right="79" w:hanging="319"/>
        <w:spacing w:after="0" w:line="267"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WM Renewable Energy </w:t>
      </w:r>
      <w:r>
        <w:rPr>
          <w:rFonts w:ascii="Times New Roman" w:cs="Times New Roman" w:eastAsia="Times New Roman" w:hAnsi="Times New Roman"/>
          <w:sz w:val="18"/>
          <w:szCs w:val="18"/>
          <w:color w:val="auto"/>
        </w:rPr>
        <w:t>— The increase in income from operations in WM Renewable Energy was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driven by (i) increased revenue due to higher RINs and blended power pricing and (ii) increased volumes due to the completion of additional projects that increased the beneficial use of landfill gas.</w:t>
      </w:r>
    </w:p>
    <w:p>
      <w:pPr>
        <w:spacing w:after="0" w:line="65"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Corporate and Other </w:t>
      </w:r>
      <w:r>
        <w:rPr>
          <w:rFonts w:ascii="Times New Roman" w:cs="Times New Roman" w:eastAsia="Times New Roman" w:hAnsi="Times New Roman"/>
          <w:sz w:val="18"/>
          <w:szCs w:val="18"/>
          <w:color w:val="auto"/>
        </w:rPr>
        <w:t>— The decrease in income from operations was primarily driven by (i) a $54 million charge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associated with an investment in a waste diversion technology business as discussed above in </w:t>
      </w:r>
      <w:r>
        <w:rPr>
          <w:rFonts w:ascii="Times New Roman" w:cs="Times New Roman" w:eastAsia="Times New Roman" w:hAnsi="Times New Roman"/>
          <w:sz w:val="18"/>
          <w:szCs w:val="18"/>
          <w:i w:val="1"/>
          <w:iCs w:val="1"/>
          <w:color w:val="auto"/>
        </w:rPr>
        <w:t>(Gain) Loss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Divestitures, Asset Impairments and Unusual Items, Net</w:t>
      </w:r>
      <w:r>
        <w:rPr>
          <w:rFonts w:ascii="Times New Roman" w:cs="Times New Roman" w:eastAsia="Times New Roman" w:hAnsi="Times New Roman"/>
          <w:sz w:val="18"/>
          <w:szCs w:val="18"/>
          <w:color w:val="auto"/>
        </w:rPr>
        <w:t>; (ii) an increase in risk management costs due to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adjustment to our reserves for certain large loss claims and increases in premiums for property coverage and (iii) higher annual and long-term incentive compensation costs.</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Net</w:t>
      </w:r>
    </w:p>
    <w:p>
      <w:pPr>
        <w:spacing w:after="0" w:line="229" w:lineRule="exact"/>
        <w:rPr>
          <w:sz w:val="20"/>
          <w:szCs w:val="20"/>
          <w:color w:val="auto"/>
        </w:rPr>
      </w:pPr>
    </w:p>
    <w:p>
      <w:pPr>
        <w:ind w:left="60" w:right="59" w:firstLine="259"/>
        <w:spacing w:after="0" w:line="282" w:lineRule="auto"/>
        <w:rPr>
          <w:sz w:val="20"/>
          <w:szCs w:val="20"/>
          <w:color w:val="auto"/>
        </w:rPr>
      </w:pPr>
      <w:r>
        <w:rPr>
          <w:rFonts w:ascii="Times New Roman" w:cs="Times New Roman" w:eastAsia="Times New Roman" w:hAnsi="Times New Roman"/>
          <w:sz w:val="18"/>
          <w:szCs w:val="18"/>
          <w:color w:val="auto"/>
        </w:rPr>
        <w:t>Our interest expense, net was $136 million and $266 million for the three and six months ended June 30, 2024, respectively, compared to $125 million and $245 million for the three and six months ended June 30, 2023, respectively.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36" w:name="page37"/>
    <w:bookmarkEnd w:id="36"/>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increase is primarily related to an increase in our average debt balances to fund growth as well as an increase in our weighted average borrowing rate of approximately 10 basis points.</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Equity in Net Income (Losses) of Unconsolidated Entities</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recognized equity method investment income of $22 million and $3 million during the three and six months ended June 30, 2024, respectively, compared to losses of $12 million and $23 million for the three and six months ended June 30, 2023, respectively. These financial statement impacts are largely related to our noncontrolling interests in entities established to invest in and manage low-income housing properties. In 2024, we adopted Accounting Standards Update (“ASU”) 2023-02, and, as a result, beginning in 2024, the amortization of these investments is recognized as a component of income tax expense. Refer to Note 4 to the Condensed Consolidated Financial Statements for further discussion.</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Our income tax expense was $214 million and $376 million for the three and six months ended June 30, 2024, respectively, compared to $196 million and $360 million for the three and six months ended June 30, 2023, respectively. Our effective income tax rate was 23.9% and 21.3% for the three and six months ended June 30, 2024, respectively, compared to 24.2% and 23.9% for the three and six months ended June 30, 2023, respectively. See Note 4 to the Condensed Consolidated Financial Statements for more information related to income taxes.</w:t>
      </w:r>
    </w:p>
    <w:p>
      <w:pPr>
        <w:spacing w:after="0" w:line="181"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Tax Legislation </w:t>
      </w:r>
      <w:r>
        <w:rPr>
          <w:rFonts w:ascii="Times New Roman" w:cs="Times New Roman" w:eastAsia="Times New Roman" w:hAnsi="Times New Roman"/>
          <w:sz w:val="18"/>
          <w:szCs w:val="18"/>
          <w:color w:val="auto"/>
        </w:rPr>
        <w:t>— The Inflation Reduction Act of 2022 (“IRA”) was signed into law by President Biden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August 16, 2022 and contains several tax-related provisions, including with respect to (i) alternative fuel tax credits; (ii) tax incentives for investments in renewable energy production, carbon capture, and other climate actions and (iii) the overall measurement of corporate income taxes. Given the complexity and uncertainty around the applicability of the legislation to our specific facts and circumstances, we continue to analyze the IRA provisions to identify and quantify potential opportunities and applicable benefits included in the legislation. The provisions of the IRA related to alternative fuel tax credits secure approximately $55 million of annual pre-tax benefit (recorded as a reduction in our operating expense) for tax credits in 2022, 2023 and 2024.</w:t>
      </w:r>
    </w:p>
    <w:p>
      <w:pPr>
        <w:spacing w:after="0" w:line="18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With respect to the investment tax credit, as expanded by the IRA, we expect the cumulative benefit to be between $250 million and $350 million, a large portion of which is anticipated to be realized in 2024 through 2026. The Company projects a full year investment tax credit benefit of approximately $145 million, which is derived from the projected completion of five new RNG facilities by the end of 2024. The amount of the projected investment tax credit benefit for 2024 is based on a number of estimates and assumptions, including the timing of project completion and interpretation of the IRA.</w:t>
      </w:r>
    </w:p>
    <w:p>
      <w:pPr>
        <w:spacing w:after="0" w:line="18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IRS issued proposed regulations applicable to the investment tax credits that could call into question our ability to realize some, or all, of this tax benefit, which would negatively impact financial expectations in connection with our significant planned and ongoing investments in sustainability growth projects in our WM Renewable Energy segment. In coordination with other members of the RNG industry and external advisors we are engaging directly with the U.S. Congress, the current federal administration, and other biogas sector stakeholders to encourage the Treasury Department to further refine its analysis prior to publication of final regulations that more accurately reflect the express language and legislative intent of the statute with respect to the investment tax credit. However, there is no guarantee that such efforts will be successful. We expect that the production tax credit incentives for investments in renewable energy and carbon capture, as expanded by the IRA, will likely result in an incremental benefit to the Company, although at this time, the anticipated amount of such benefit has not been quantified.</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The Company consistently generates cash flow from operations that meets and exceeds our working capital needs, allows for payment of our dividends, investment in the business through capital expenditures and tuck-in acquisitions, and funding of strategic sustainability growth investments. We continually monitor our actual and forecasted cash flows, our liquidity and our capital resources, enabling us to plan for our present needs and fund unbudgeted business requirements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37" w:name="page38"/>
    <w:bookmarkEnd w:id="37"/>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that may arise during the year. The Company believes that its investment grade credit ratings, diverse investor base, large value of unencumbered assets and modest leverage enable it to obtain adequate financing and refinance upcoming maturities as necessary to meet its ongoing capital, operating, strategic and other liquidity requirements. We also have the additional ability to manage liquidity during periods of significant financial market disruption through temporary modification of our capital expenditure and share repurchase plans.</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and Cash Equivalents, Restricted Funds and Debt Obligations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is a summary of our cash and cash equivalents, restricted funds and debt balances (in millions):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Borders>
              <w:bottom w:val="single" w:sz="8" w:color="CCEEFF"/>
            </w:tcBorders>
          </w:tcPr>
          <w:p>
            <w:pPr>
              <w:spacing w:after="0"/>
              <w:rPr>
                <w:sz w:val="15"/>
                <w:szCs w:val="15"/>
                <w:color w:val="auto"/>
              </w:rPr>
            </w:pPr>
          </w:p>
        </w:tc>
        <w:tc>
          <w:tcPr>
            <w:tcW w:w="396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0"/>
        </w:trPr>
        <w:tc>
          <w:tcPr>
            <w:tcW w:w="6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Restricted funds and other:</w:t>
            </w: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0" w:type="dxa"/>
            <w:vAlign w:val="bottom"/>
            <w:gridSpan w:val="3"/>
            <w:vMerge w:val="continue"/>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Insurance reserves</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Final capping, closure, post-closure and environmental remediation funds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(a)</w:t>
            </w:r>
          </w:p>
        </w:tc>
        <w:tc>
          <w:tcPr>
            <w:tcW w:w="7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1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restricted funds and other (b)</w:t>
            </w:r>
          </w:p>
        </w:tc>
        <w:tc>
          <w:tcPr>
            <w:tcW w:w="7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1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Debt:</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Current portion</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8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Long-term portion</w:t>
            </w:r>
          </w:p>
        </w:tc>
        <w:tc>
          <w:tcPr>
            <w:tcW w:w="7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debt</w:t>
            </w:r>
          </w:p>
        </w:tc>
        <w:tc>
          <w:tcPr>
            <w:tcW w:w="7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16,743</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39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ind w:left="380" w:right="79" w:hanging="330"/>
        <w:spacing w:after="0" w:line="256" w:lineRule="auto"/>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$778 million of investments in certain WM tax-exempt bonds as discussed further in Note 1 to the Condensed Consolidated Financial Statements. These investments are classified as current because we have the intent and ability to remarket the bonds within the next twelve months. The related tax-exempt debt is included in our Condensed Consolidated Balance Sheet as of June 30, 2024 as a component of long-term debt. In July 2024 we received $349 million from the successful remarking of these tax-exempt bonds and expect to successfully remarket the remaining bonds held within the third quarter of 2024.</w:t>
      </w:r>
    </w:p>
    <w:p>
      <w:pPr>
        <w:spacing w:after="0" w:line="187"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June 30, 2024 and December 31, 2023, $868 million and $90 million, respectively, of these account balances were included in other current assets in our Condensed Consolidated Balance Sheets.</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 xml:space="preserve">Debt </w:t>
      </w:r>
      <w:r>
        <w:rPr>
          <w:rFonts w:ascii="Times New Roman" w:cs="Times New Roman" w:eastAsia="Times New Roman" w:hAnsi="Times New Roman"/>
          <w:sz w:val="18"/>
          <w:szCs w:val="18"/>
          <w:color w:val="auto"/>
        </w:rPr>
        <w:t>— As of June 30, 2024, we had approximately $3.8 billion of debt maturing within the next 12 months, including</w:t>
      </w:r>
    </w:p>
    <w:p>
      <w:pPr>
        <w:spacing w:after="0" w:line="29" w:lineRule="exact"/>
        <w:rPr>
          <w:sz w:val="20"/>
          <w:szCs w:val="20"/>
          <w:color w:val="auto"/>
        </w:rPr>
      </w:pPr>
    </w:p>
    <w:p>
      <w:pPr>
        <w:jc w:val="both"/>
        <w:ind w:left="60" w:right="59" w:hanging="10"/>
        <w:spacing w:after="0" w:line="251" w:lineRule="auto"/>
        <w:tabs>
          <w:tab w:leader="none" w:pos="29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billion of short term borrowings under our commercial paper program (net of related discount on issuance); (ii) $1.6 billion of tax exempt bonds with term interest rate periods that expire within the next 12 months, which is prior to their scheduled maturities; (iii) $422 million of 3.125% senior notes that mature in March 2025 and (iv) $167 million of other debt with scheduled maturities within the next 12 months, including $30 million of tax-exempt bonds. As of June 30, 2024, we have classified $3.6 billion of debt maturing in the next 12 months as long-term because we have the intent and ability to refinance these borrowings on a long-term basis as supported by the forecasted available capacity under our $3.5 billion long-term U.S. and Canadian revolving credit facility (“$3.5 billion revolving credit facility”) and our issuance of $1.5 billion of senior notes in July 2024, the proceeds of which were used primarily to reduce outstanding borrowings under our commercial paper program and the remainder were used for general corporate purposes. The remaining $242 million of debt maturing in the next 12 months is classified as current obligations.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38" w:name="page39"/>
    <w:bookmarkEnd w:id="38"/>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Guarantor Financial Information</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WM Holdings has fully and unconditionally guaranteed all of WMI’s senior indebtedness. WMI has fully and unconditionally guaranteed all of WM Holdings’ senior indebtedness. None of WMI’s other subsidiaries have guaranteed any of WMI’s or WM Holdings’ debt. In lieu of providing separate financial statements for the subsidiary issuer and guarantor (WMI and WM Holdings), we have presented the accompanying supplemental summarized combined balance sheet and income statement information for WMI and WM Holdings on a combined basis after elimination of intercompany transactions between WMI and WM Holdings and amounts related to investments in any subsidiary that is a non-guarantor (in millions):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8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 Information:</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42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21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1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6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Advances due to affiliates</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22,197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21,228</w:t>
            </w:r>
          </w:p>
        </w:tc>
      </w:tr>
      <w:tr>
        <w:trPr>
          <w:trHeight w:val="216"/>
        </w:trPr>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13,798</w:t>
            </w:r>
          </w:p>
        </w:tc>
      </w:tr>
      <w:tr>
        <w:trPr>
          <w:trHeight w:val="353"/>
        </w:trPr>
        <w:tc>
          <w:tcPr>
            <w:tcW w:w="6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68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20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Statement Information:</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34"/>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bl>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Flow Activity</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is a summary of our cash flows for the six months ended June 30 (in millions):</w:t>
      </w:r>
    </w:p>
    <w:p>
      <w:pPr>
        <w:spacing w:after="0" w:line="12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9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6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96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(2,359)</w:t>
            </w:r>
          </w:p>
        </w:tc>
        <w:tc>
          <w:tcPr>
            <w:tcW w:w="18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(1,339)</w:t>
            </w:r>
          </w:p>
        </w:tc>
        <w:tc>
          <w:tcPr>
            <w:tcW w:w="0" w:type="dxa"/>
            <w:vAlign w:val="bottom"/>
          </w:tcPr>
          <w:p>
            <w:pPr>
              <w:spacing w:after="0"/>
              <w:rPr>
                <w:sz w:val="1"/>
                <w:szCs w:val="1"/>
                <w:color w:val="auto"/>
              </w:rPr>
            </w:pPr>
          </w:p>
        </w:tc>
      </w:tr>
      <w:tr>
        <w:trPr>
          <w:trHeight w:val="197"/>
        </w:trPr>
        <w:tc>
          <w:tcPr>
            <w:tcW w:w="696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cash used in financing activities</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(464)</w:t>
            </w:r>
          </w:p>
        </w:tc>
        <w:tc>
          <w:tcPr>
            <w:tcW w:w="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Cash Provided by Operating Activities — </w:t>
      </w:r>
      <w:r>
        <w:rPr>
          <w:rFonts w:ascii="Times New Roman" w:cs="Times New Roman" w:eastAsia="Times New Roman" w:hAnsi="Times New Roman"/>
          <w:sz w:val="18"/>
          <w:szCs w:val="18"/>
          <w:color w:val="auto"/>
        </w:rPr>
        <w:t>Our operating cash flows increased by $447 million for the six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2024, as compared with the prior year period, driven by (i) higher earnings in our Collection and Disposal businesses; (ii) favorable changes in working capital and (iii) lower annual incentive compensation payments. This increase was partially offset by higher cash interest payments.</w:t>
      </w:r>
    </w:p>
    <w:p>
      <w:pPr>
        <w:spacing w:after="0" w:line="180"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Cash Used in Investing Activities — </w:t>
      </w:r>
      <w:r>
        <w:rPr>
          <w:rFonts w:ascii="Times New Roman" w:cs="Times New Roman" w:eastAsia="Times New Roman" w:hAnsi="Times New Roman"/>
          <w:sz w:val="18"/>
          <w:szCs w:val="18"/>
          <w:color w:val="auto"/>
        </w:rPr>
        <w:t>The most significant items included in our investing cash flows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six months ended June 30, 2024 and 2023 are summarized below:</w:t>
      </w:r>
    </w:p>
    <w:p>
      <w:pPr>
        <w:spacing w:after="0" w:line="50" w:lineRule="exact"/>
        <w:rPr>
          <w:sz w:val="20"/>
          <w:szCs w:val="20"/>
          <w:color w:val="auto"/>
        </w:rPr>
      </w:pPr>
    </w:p>
    <w:p>
      <w:pPr>
        <w:jc w:val="both"/>
        <w:ind w:left="720" w:right="79" w:hanging="319"/>
        <w:spacing w:after="0" w:line="267"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Capital Expenditures — </w:t>
      </w:r>
      <w:r>
        <w:rPr>
          <w:rFonts w:ascii="Times New Roman" w:cs="Times New Roman" w:eastAsia="Times New Roman" w:hAnsi="Times New Roman"/>
          <w:sz w:val="18"/>
          <w:szCs w:val="18"/>
          <w:color w:val="auto"/>
        </w:rPr>
        <w:t>We used $1,335 million and $1,180 million for capital expenditures during the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2024 and 2023, respectively. The increase in capital spending is primarily driven by our planned and ongoing investments in our Recycling Processing and Sales and WM Renewable Energy segments.</w:t>
      </w:r>
    </w:p>
    <w:p>
      <w:pPr>
        <w:spacing w:after="0" w:line="65"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Acquisitions — </w:t>
      </w:r>
      <w:r>
        <w:rPr>
          <w:rFonts w:ascii="Times New Roman" w:cs="Times New Roman" w:eastAsia="Times New Roman" w:hAnsi="Times New Roman"/>
          <w:sz w:val="18"/>
          <w:szCs w:val="18"/>
          <w:color w:val="auto"/>
        </w:rPr>
        <w:t>Our spending on acquisitions was $250 million and $118 million during the six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2024 and 2023, respectively, of which $243 million and $118 million, respectively, are considered cash used in investing activities. The remaining spend is cash used in financing activity related to the timing of contingent consideration paid. Substantially all of these acquisitions are related to our solid waste and recycling businesses.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39" w:name="page40"/>
    <w:bookmarkEnd w:id="39"/>
    <w:p>
      <w:pPr>
        <w:jc w:val="both"/>
        <w:ind w:left="720" w:right="79" w:hanging="319"/>
        <w:spacing w:after="0" w:line="257"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Net </w:t>
      </w:r>
      <w:r>
        <w:rPr>
          <w:rFonts w:ascii="Times New Roman" w:cs="Times New Roman" w:eastAsia="Times New Roman" w:hAnsi="Times New Roman"/>
          <w:sz w:val="18"/>
          <w:szCs w:val="18"/>
          <w:color w:val="auto"/>
        </w:rPr>
        <w:t>— During the six months ended June 30, 2024, we repurchased $778 million in certain WM tax-exempt bonds as discussed further in Note 1 to Condensed Consolidated Financial Statements. The remaining year-over-year changes in other investing activities were primarily driven by changes in our investment portfolio associated with a wholly-owned insurance captive. During the six months ended June 30, 2024 and 2023, we used $61 million and $76 million, respectively, of cash from restricted cash and cash equivalents to invest in available-for-sale securities.</w:t>
      </w:r>
    </w:p>
    <w:p>
      <w:pPr>
        <w:spacing w:after="0" w:line="74" w:lineRule="exact"/>
        <w:rPr>
          <w:sz w:val="20"/>
          <w:szCs w:val="20"/>
          <w:color w:val="auto"/>
        </w:rPr>
      </w:pPr>
    </w:p>
    <w:p>
      <w:pPr>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Cash Used in Financing Activities — </w:t>
      </w:r>
      <w:r>
        <w:rPr>
          <w:rFonts w:ascii="Times New Roman" w:cs="Times New Roman" w:eastAsia="Times New Roman" w:hAnsi="Times New Roman"/>
          <w:sz w:val="18"/>
          <w:szCs w:val="18"/>
          <w:color w:val="auto"/>
        </w:rPr>
        <w:t>The most significant items affecting the comparison of our financing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flows for the six months ended June 30, 2024 and 2023 are summarized below:</w:t>
      </w:r>
    </w:p>
    <w:p>
      <w:pPr>
        <w:spacing w:after="0" w:line="50" w:lineRule="exact"/>
        <w:rPr>
          <w:sz w:val="20"/>
          <w:szCs w:val="20"/>
          <w:color w:val="auto"/>
        </w:rPr>
      </w:pPr>
    </w:p>
    <w:p>
      <w:pPr>
        <w:ind w:left="720" w:right="79" w:hanging="319"/>
        <w:spacing w:after="0" w:line="284"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Debt Borrowings and Repayments — </w:t>
      </w:r>
      <w:r>
        <w:rPr>
          <w:rFonts w:ascii="Times New Roman" w:cs="Times New Roman" w:eastAsia="Times New Roman" w:hAnsi="Times New Roman"/>
          <w:sz w:val="18"/>
          <w:szCs w:val="18"/>
          <w:color w:val="auto"/>
        </w:rPr>
        <w:t>The following summarizes our cash borrowings (net of related discount)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repayments of debt for the six months ended June 30 (in millions):</w:t>
      </w:r>
    </w:p>
    <w:p>
      <w:pPr>
        <w:spacing w:after="0" w:line="59" w:lineRule="exact"/>
        <w:rPr>
          <w:sz w:val="20"/>
          <w:szCs w:val="20"/>
          <w:color w:val="auto"/>
        </w:rPr>
      </w:pPr>
    </w:p>
    <w:tbl>
      <w:tblPr>
        <w:tblLayout w:type="fixed"/>
        <w:tblInd w:w="700" w:type="dxa"/>
        <w:tblCellMar>
          <w:top w:w="0" w:type="dxa"/>
          <w:left w:w="0" w:type="dxa"/>
          <w:bottom w:w="0" w:type="dxa"/>
          <w:right w:w="0" w:type="dxa"/>
        </w:tblCellMar>
      </w:tblPr>
      <w:tr>
        <w:trPr>
          <w:trHeight w:val="173"/>
        </w:trPr>
        <w:tc>
          <w:tcPr>
            <w:tcW w:w="60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9,180</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10,064</w:t>
            </w:r>
          </w:p>
        </w:tc>
      </w:tr>
      <w:tr>
        <w:trPr>
          <w:trHeight w:val="216"/>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Senior notes</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r>
      <w:tr>
        <w:trPr>
          <w:trHeight w:val="216"/>
        </w:trPr>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Tax-exempt bonds</w:t>
            </w:r>
          </w:p>
        </w:tc>
        <w:tc>
          <w:tcPr>
            <w:tcW w:w="1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0"/>
        </w:trPr>
        <w:tc>
          <w:tcPr>
            <w:tcW w:w="60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11,356</w:t>
            </w:r>
          </w:p>
        </w:tc>
      </w:tr>
      <w:tr>
        <w:trPr>
          <w:trHeight w:val="209"/>
        </w:trPr>
        <w:tc>
          <w:tcPr>
            <w:tcW w:w="60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Repayments</w:t>
            </w: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432"/>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(8,496)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(10,476)</w:t>
            </w:r>
          </w:p>
        </w:tc>
      </w:tr>
      <w:tr>
        <w:trPr>
          <w:trHeight w:val="216"/>
        </w:trPr>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Senior notes</w:t>
            </w:r>
          </w:p>
        </w:tc>
        <w:tc>
          <w:tcPr>
            <w:tcW w:w="1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Tax-exempt bonds</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debt</w:t>
            </w:r>
          </w:p>
        </w:tc>
        <w:tc>
          <w:tcPr>
            <w:tcW w:w="1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0"/>
        </w:trPr>
        <w:tc>
          <w:tcPr>
            <w:tcW w:w="60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r>
      <w:tr>
        <w:trPr>
          <w:trHeight w:val="426"/>
        </w:trPr>
        <w:tc>
          <w:tcPr>
            <w:tcW w:w="60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(8,752)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(11,074)</w:t>
            </w:r>
          </w:p>
        </w:tc>
      </w:tr>
      <w:tr>
        <w:trPr>
          <w:trHeight w:val="209"/>
        </w:trPr>
        <w:tc>
          <w:tcPr>
            <w:tcW w:w="60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Net cash borrowings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0"/>
        </w:trPr>
        <w:tc>
          <w:tcPr>
            <w:tcW w:w="6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700" w:right="59"/>
        <w:spacing w:after="0" w:line="282" w:lineRule="auto"/>
        <w:rPr>
          <w:sz w:val="20"/>
          <w:szCs w:val="20"/>
          <w:color w:val="auto"/>
        </w:rPr>
      </w:pPr>
      <w:r>
        <w:rPr>
          <w:rFonts w:ascii="Times New Roman" w:cs="Times New Roman" w:eastAsia="Times New Roman" w:hAnsi="Times New Roman"/>
          <w:sz w:val="18"/>
          <w:szCs w:val="18"/>
          <w:color w:val="auto"/>
        </w:rPr>
        <w:t>Refer to Note 3 to the Condensed Consolidated Financial Statements for additional information related to our debt borrowings and repayments.</w:t>
      </w:r>
    </w:p>
    <w:p>
      <w:pPr>
        <w:spacing w:after="0" w:line="52" w:lineRule="exact"/>
        <w:rPr>
          <w:sz w:val="20"/>
          <w:szCs w:val="20"/>
          <w:color w:val="auto"/>
        </w:rPr>
      </w:pPr>
    </w:p>
    <w:p>
      <w:pPr>
        <w:jc w:val="both"/>
        <w:ind w:left="720" w:right="79" w:hanging="319"/>
        <w:spacing w:after="0" w:line="256"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Common Stock Repurchase Program — </w:t>
      </w:r>
      <w:r>
        <w:rPr>
          <w:rFonts w:ascii="Times New Roman" w:cs="Times New Roman" w:eastAsia="Times New Roman" w:hAnsi="Times New Roman"/>
          <w:sz w:val="18"/>
          <w:szCs w:val="18"/>
          <w:color w:val="auto"/>
        </w:rPr>
        <w:t>During the six months ended June 30, 2024 and 2023, we used $262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$620 million, respectively, to repurchase shares of our common stock under accelerated share repurchase agreements and open market transactions. The decrease in share repurchase activity in 2024 relates to our temporary suspension of share repurchase activity in anticipation of the acquisition of Stericycle. We expect to resume share repurchases once the Company’s leverage returns to targeted levels, which is currently projected to be about 18 months after the acquisition closes. See Note 11 to the Condensed Consolidated Financial Statements for additional information about our share repurchase activity.</w:t>
      </w:r>
    </w:p>
    <w:p>
      <w:pPr>
        <w:spacing w:after="0" w:line="74"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Cash Dividends — </w:t>
      </w:r>
      <w:r>
        <w:rPr>
          <w:rFonts w:ascii="Times New Roman" w:cs="Times New Roman" w:eastAsia="Times New Roman" w:hAnsi="Times New Roman"/>
          <w:sz w:val="18"/>
          <w:szCs w:val="18"/>
          <w:color w:val="auto"/>
        </w:rPr>
        <w:t>For the periods presented, all dividends have been declared by our Board of Directors.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paid cash dividends of $608 million and $572 million during the six months ended June 30, 2024 and 2023, respectively. The increase in dividend payments is due to our quarterly per share dividend increasing from $0.70 in 2023 to $0.75 in 2024.</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are presenting free cash flow, which is a non-GAAP measure of liquidity, in our disclosures because we use this measure in the evaluation and management of our business. We define free cash flow as net cash provided by operating activities, less capital expenditures, plus proceeds from divestitures of businesses and other assets, net of cash divested. We believe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GAAP measure. We believe free cash flow gives investors useful insight into how we view our liquidity, but the use of free cash flow as a liquidity measure has material limitations because it excludes certain expenditures that are required or that we have committed to, such as declared dividend payments and debt service requirements.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5" w:right="1440" w:bottom="1440" w:gutter="0" w:footer="0" w:header="0"/>
        </w:sectPr>
      </w:pPr>
    </w:p>
    <w:bookmarkStart w:id="40" w:name="page41"/>
    <w:bookmarkEnd w:id="40"/>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Our calculation of free cash flow and reconciliation to net cash provided by operating activities is shown in the table below (in millions), and may not be calculated the same as similarly-titled measures presented by other companies: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4"/>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5"/>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4"/>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Borders>
              <w:bottom w:val="single" w:sz="8" w:color="auto"/>
            </w:tcBorders>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268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w:t>
            </w:r>
          </w:p>
        </w:tc>
      </w:tr>
      <w:tr>
        <w:trPr>
          <w:trHeight w:val="216"/>
        </w:trPr>
        <w:tc>
          <w:tcPr>
            <w:tcW w:w="20" w:type="dxa"/>
            <w:vAlign w:val="bottom"/>
          </w:tcPr>
          <w:p>
            <w:pPr>
              <w:spacing w:after="0"/>
              <w:rPr>
                <w:sz w:val="18"/>
                <w:szCs w:val="18"/>
                <w:color w:val="auto"/>
              </w:rPr>
            </w:pPr>
          </w:p>
        </w:tc>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Capital expenditures to support the business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w:t>
            </w: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Capital expenditures - sustainability growth investments (a)</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09"/>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w:t>
            </w:r>
          </w:p>
        </w:tc>
      </w:tr>
      <w:tr>
        <w:trPr>
          <w:trHeight w:val="198"/>
        </w:trPr>
        <w:tc>
          <w:tcPr>
            <w:tcW w:w="20" w:type="dxa"/>
            <w:vAlign w:val="bottom"/>
          </w:tcPr>
          <w:p>
            <w:pPr>
              <w:spacing w:after="0"/>
              <w:rPr>
                <w:sz w:val="17"/>
                <w:szCs w:val="17"/>
                <w:color w:val="auto"/>
              </w:rPr>
            </w:pPr>
          </w:p>
        </w:tc>
        <w:tc>
          <w:tcPr>
            <w:tcW w:w="49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Proceeds from divestitures of businesses and other assets, net of</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divested</w:t>
            </w:r>
          </w:p>
        </w:tc>
        <w:tc>
          <w:tcPr>
            <w:tcW w:w="3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0"/>
        </w:trPr>
        <w:tc>
          <w:tcPr>
            <w:tcW w:w="20" w:type="dxa"/>
            <w:vAlign w:val="bottom"/>
          </w:tcPr>
          <w:p>
            <w:pPr>
              <w:spacing w:after="0"/>
              <w:rPr>
                <w:sz w:val="18"/>
                <w:szCs w:val="18"/>
                <w:color w:val="auto"/>
              </w:rPr>
            </w:pPr>
          </w:p>
        </w:tc>
        <w:tc>
          <w:tcPr>
            <w:tcW w:w="4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Free cash flow</w:t>
            </w:r>
          </w:p>
        </w:tc>
        <w:tc>
          <w:tcPr>
            <w:tcW w:w="3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2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r>
    </w:tbl>
    <w:p>
      <w:pPr>
        <w:spacing w:after="0" w:line="76" w:lineRule="exact"/>
        <w:rPr>
          <w:sz w:val="20"/>
          <w:szCs w:val="20"/>
          <w:color w:val="auto"/>
        </w:rPr>
      </w:pPr>
    </w:p>
    <w:p>
      <w:pPr>
        <w:jc w:val="both"/>
        <w:ind w:left="380" w:right="79" w:hanging="330"/>
        <w:spacing w:after="0" w:line="266"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growth investments are intended to further our sustainability leadership position by increasing recycling volumes and growing renewable natural gas generation. We expect they will deliver circular solutions for our customers and drive environmental value to the communities we serve.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 and Assumptions</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 impairments, intangible asset impairments and the fair value of assets and liabilities acquired in business combinations, as described in Item 7 of our Annual Report on Form 10-K for the year ended December 31, 2023. Actual results could differ materially from the estimates and assumptions that we use in the preparation of our financial statements.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Seasonal Trends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Our financial and operating results may fluctuate for many reasons, including period-to-period changes in the relative contribution of revenue by each line of business, changes in commodity prices and general economic conditions. Our operating revenues and volumes typically experience seasonal increases in the summer months that are reflected in second and third quarter revenues and results of operations.</w:t>
      </w:r>
    </w:p>
    <w:p>
      <w:pPr>
        <w:spacing w:after="0" w:line="18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Service or operational disruptions caused by severe storms, extended periods of inclement weather or climate events can significantly affect the operating results of the geographic areas affected. Extreme weather events may also lead to supply chain disruption and delayed project development, or disruption of our customers’ businesses, reducing the amount of waste generated by their operations.</w:t>
      </w:r>
    </w:p>
    <w:p>
      <w:pPr>
        <w:spacing w:after="0" w:line="18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Conversely, certain destructive weather and climate conditions, such as wildfires in the Western U.S. and hurricanes that most often impact our operations in the Southern and Eastern U.S. during the second half of the year, can increase our revenues in the geographic areas affected as a result of the waste volumes generated by these events. While weather-related and other event-driven special projects can boost revenues through additional work for a limited time, due to significant start-up costs and other factors, such revenue can generate earnings at comparatively lower margins.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Macroeconomic pressures continue, including sustained inflationary pressures and high interest rates, with geopolitical events causing further market disruptions. Inflation moderately declined from the high levels observed during</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41" w:name="page42"/>
    <w:bookmarkEnd w:id="41"/>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first half of 2023; however, inflation remained above typical levels during the first half of 2024. While supply chain activity has begun to normalize, risks persist related to higher operating costs, ongoing supply shortages, labor and transportation challenges and impacts from global events. We continue to take proactive steps to recover and mitigate inflationary cost pressures through our overall pricing efforts and by managing our costs through efficiency, labor productivity, and investments in technology to automate certain aspects of our business. These efforts may not be successful for various reasons including the pace of inflation, operating cost inefficiencies, market responses, and contractual limitations, such as the timing lag in our ability to recover increased costs under certain contracts that are tied to a price escalation index with a lookback provision.</w:t>
      </w:r>
    </w:p>
    <w:p>
      <w:pPr>
        <w:spacing w:after="0" w:line="188" w:lineRule="exact"/>
        <w:rPr>
          <w:sz w:val="20"/>
          <w:szCs w:val="20"/>
          <w:color w:val="auto"/>
        </w:rPr>
      </w:pPr>
    </w:p>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Information about market risks as of June 30, 2024 does not materially differ from that discussed under Item 7A in our Annual Report on Form 10-K for the year ended December 31, 2023.</w:t>
      </w:r>
    </w:p>
    <w:p>
      <w:pPr>
        <w:spacing w:after="0" w:line="158" w:lineRule="exact"/>
        <w:rPr>
          <w:sz w:val="20"/>
          <w:szCs w:val="20"/>
          <w:color w:val="auto"/>
        </w:rPr>
      </w:pPr>
    </w:p>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Effectiveness of Disclosure Controls and Procedures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and financial officers, has evaluated the effectiveness of our disclosure controls and procedures (as defined in Rules 13a-15(e) and 15d-15(e) of the Securities Exchange Act of 1934, as amended) in ensuring that the information required to be disclosed in reports that we file or submit under the Securities Exchange Act of 1934, as amended, is recorded, processed, summarized and reported within the time periods specified in the SEC’s rules and forms, including ensuring that such information is accumulated and communicated to management (including the principal executive and financial officers) as appropriate to allow timely decisions regarding required disclosure. Based on such evaluation, our principal executive and financial officers have concluded that such disclosure controls and procedures were effective as of June 30, 2024 (the end of the period covered by this Quarterly Report on Form 10-Q) at a reasonable assurance level.</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Management, together with our CEO and CFO, evaluated the changes in our internal control over financial reporting during the quarter ended June 30, 2024. We determined that there were no changes in our internal control over financial reporting during the quarter ended June 30, 2024 that have materially affected, or are reasonably likely to materially affect, our internal control over financial reporting.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27"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color w:val="auto"/>
        </w:rPr>
        <w:t xml:space="preserve">Information regarding our legal proceedings can be found under the </w:t>
      </w:r>
      <w:r>
        <w:rPr>
          <w:rFonts w:ascii="Times New Roman" w:cs="Times New Roman" w:eastAsia="Times New Roman" w:hAnsi="Times New Roman"/>
          <w:sz w:val="18"/>
          <w:szCs w:val="18"/>
          <w:i w:val="1"/>
          <w:iCs w:val="1"/>
          <w:color w:val="auto"/>
        </w:rPr>
        <w:t>Environmental Matters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xml:space="preserve"> sections of Note 6 to the Condensed Consolidated Financial Statements.</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Except as set forth below, there have been no material changes to the risk factors previously disclosed in Part I, Item 1A of our Annual Report on Form 10-K for the year ended December 31, 2023.</w:t>
      </w:r>
    </w:p>
    <w:p>
      <w:pPr>
        <w:spacing w:after="0" w:line="144" w:lineRule="exact"/>
        <w:rPr>
          <w:sz w:val="20"/>
          <w:szCs w:val="20"/>
          <w:color w:val="auto"/>
        </w:rPr>
      </w:pPr>
    </w:p>
    <w:p>
      <w:pPr>
        <w:jc w:val="both"/>
        <w:ind w:left="60" w:right="59"/>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The planned Stericycle acquisition may not occur at all, may not occur in the expected time frame or may involve remedies required by regulatory authorities, which may negatively affect the trading price of our common stock and our future business and financial results.</w:t>
      </w:r>
    </w:p>
    <w:p>
      <w:pPr>
        <w:spacing w:after="0" w:line="113" w:lineRule="exact"/>
        <w:rPr>
          <w:sz w:val="20"/>
          <w:szCs w:val="20"/>
          <w:color w:val="auto"/>
        </w:rPr>
      </w:pPr>
    </w:p>
    <w:p>
      <w:pPr>
        <w:jc w:val="both"/>
        <w:ind w:left="60" w:right="59" w:firstLine="360"/>
        <w:spacing w:after="0" w:line="250" w:lineRule="auto"/>
        <w:rPr>
          <w:sz w:val="20"/>
          <w:szCs w:val="20"/>
          <w:color w:val="auto"/>
        </w:rPr>
      </w:pPr>
      <w:r>
        <w:rPr>
          <w:rFonts w:ascii="Times New Roman" w:cs="Times New Roman" w:eastAsia="Times New Roman" w:hAnsi="Times New Roman"/>
          <w:sz w:val="18"/>
          <w:szCs w:val="18"/>
          <w:color w:val="auto"/>
        </w:rPr>
        <w:t>On June 3, 2024, we entered into the Merger Agreement pursuant to which, among other things and subject to the satisfaction or waiver of specified conditions, we agreed to acquire Stericycle. If the Stericycle acquisition is completed,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42" w:name="page43"/>
    <w:bookmarkEnd w:id="42"/>
    <w:p>
      <w:pPr>
        <w:jc w:val="both"/>
        <w:ind w:left="60" w:right="59"/>
        <w:spacing w:after="0" w:line="235" w:lineRule="auto"/>
        <w:rPr>
          <w:sz w:val="20"/>
          <w:szCs w:val="20"/>
          <w:color w:val="auto"/>
        </w:rPr>
      </w:pPr>
      <w:r>
        <w:rPr>
          <w:rFonts w:ascii="Times New Roman" w:cs="Times New Roman" w:eastAsia="Times New Roman" w:hAnsi="Times New Roman"/>
          <w:sz w:val="18"/>
          <w:szCs w:val="18"/>
          <w:color w:val="auto"/>
        </w:rPr>
        <w:t>Stericycle will become our indirect wholly owned subsidiary. The consummation of the Stericycle acquisition is not assured and is subject to certain conditions, including, among other things, (i) the affirmative vote of the holders of a majority of the voting power represented by the shares of Stericycle common stock that are outstanding and entitled to vote at the meeting of stockholders of Stericycle, (ii) customary regulatory approval, including pursuant to the Hart-Scott-Rodino Antitrust Improvements Act of 1976, as amended, and the rules and regulations promulgated thereunder, and certain foreign competition laws and foreign investment laws, and (iii) the absence of any law or order restraining, enjoining or otherwise prohibiting the Stericycle acquisition, as well as other customary closing conditions.</w:t>
      </w:r>
    </w:p>
    <w:p>
      <w:pPr>
        <w:spacing w:after="0" w:line="93" w:lineRule="exact"/>
        <w:rPr>
          <w:sz w:val="20"/>
          <w:szCs w:val="20"/>
          <w:color w:val="auto"/>
        </w:rPr>
      </w:pPr>
    </w:p>
    <w:p>
      <w:pPr>
        <w:jc w:val="both"/>
        <w:ind w:left="60" w:right="59" w:firstLine="360"/>
        <w:spacing w:after="0" w:line="232" w:lineRule="auto"/>
        <w:rPr>
          <w:sz w:val="20"/>
          <w:szCs w:val="20"/>
          <w:color w:val="auto"/>
        </w:rPr>
      </w:pPr>
      <w:r>
        <w:rPr>
          <w:rFonts w:ascii="Times New Roman" w:cs="Times New Roman" w:eastAsia="Times New Roman" w:hAnsi="Times New Roman"/>
          <w:sz w:val="18"/>
          <w:szCs w:val="18"/>
          <w:color w:val="auto"/>
        </w:rPr>
        <w:t>The planned Stericycle acquisition is subject to a number of risks and uncertainties, including general economic and capital markets conditions; the effects that the announcement or pendency of the Stericycle acquisition may have on us, Stericycle and our respective businesses; inability to obtain required regulatory or government approvals or to obtain such approvals on satisfactory conditions; inability of Stericycle to obtain stockholder approval or satisfy other closing conditions; our inability to obtain financing on acceptable terms; the occurrence of any event, change or other circumstance that could give rise to the termination of the Merger Agreement, several of which could require us to pay a termination fee of $262.5 million to Stericycle; legal or regulatory proceedings related to Stericycle or the proposed acquisition and the expenses and diversion of management’s attention that may be associated therewith; and unexpected costs, charges or expenses. If the planned Stericycle acquisition is not completed, if there are significant delays in completing the planned acquisition or if the planned acquisition involves an unexpected amount of remedies required by regulatory authorities, it could negatively affect the trading price of our common stock and our future business and financial results.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strategic benefits and cost synergies that are anticipated from the planned Stericycle acquisition.</w:t>
      </w:r>
    </w:p>
    <w:p>
      <w:pPr>
        <w:spacing w:after="0" w:line="135" w:lineRule="exact"/>
        <w:rPr>
          <w:sz w:val="20"/>
          <w:szCs w:val="20"/>
          <w:color w:val="auto"/>
        </w:rPr>
      </w:pPr>
    </w:p>
    <w:p>
      <w:pPr>
        <w:jc w:val="both"/>
        <w:ind w:left="60" w:right="59" w:firstLine="360"/>
        <w:spacing w:after="0" w:line="232" w:lineRule="auto"/>
        <w:rPr>
          <w:sz w:val="20"/>
          <w:szCs w:val="20"/>
          <w:color w:val="auto"/>
        </w:rPr>
      </w:pPr>
      <w:r>
        <w:rPr>
          <w:rFonts w:ascii="Times New Roman" w:cs="Times New Roman" w:eastAsia="Times New Roman" w:hAnsi="Times New Roman"/>
          <w:sz w:val="18"/>
          <w:szCs w:val="18"/>
          <w:color w:val="auto"/>
        </w:rPr>
        <w:t>The benefits we expect to receive from the planned Stericycle acquisition depend on the performance of the Stericycle business and its ability to achieve its financial and operational targets and strategic goals. The Stericycle business is subject to numerous risks and uncertainties that could cause performance to be materially different than we have anticipated; such factors include, but are not limited to, decreases in the volume of regulated wastes or personal and confidential information collected from customers; disruptions resulting from deployment of systems; changing market conditions in the healthcare industry; competition and demand for services in the regulated waste and secure information destruction industries; commodity price volatility; changes in governmental regulation of the collection, transportation, treatment and disposal of regulated waste or the proper handling and protection of personal and confidential information; the level of government enforcement of regulations governing regulated waste collection and treatment or the proper handling and protection of personal and confidential information; and the outcome of pending, future or settled litigation or investigations. Should the Stericycle business be unsuccessful in achieving its financial and operational targets and implementing its business strategy, it could negatively impact our realization of benefits from the acquisition, as well as the trading price of our common stock and our future business and financial results.</w:t>
      </w:r>
    </w:p>
    <w:p>
      <w:pPr>
        <w:spacing w:after="0" w:line="112" w:lineRule="exact"/>
        <w:rPr>
          <w:sz w:val="20"/>
          <w:szCs w:val="20"/>
          <w:color w:val="auto"/>
        </w:rPr>
      </w:pPr>
    </w:p>
    <w:p>
      <w:pPr>
        <w:jc w:val="both"/>
        <w:ind w:left="60" w:right="59" w:firstLine="360"/>
        <w:spacing w:after="0" w:line="235" w:lineRule="auto"/>
        <w:rPr>
          <w:sz w:val="20"/>
          <w:szCs w:val="20"/>
          <w:color w:val="auto"/>
        </w:rPr>
      </w:pPr>
      <w:r>
        <w:rPr>
          <w:rFonts w:ascii="Times New Roman" w:cs="Times New Roman" w:eastAsia="Times New Roman" w:hAnsi="Times New Roman"/>
          <w:sz w:val="18"/>
          <w:szCs w:val="18"/>
          <w:color w:val="auto"/>
        </w:rPr>
        <w:t>The benefits that we expect to receive from the planned Stericycle acquisition also depend, in part, on our ability to realize anticipated cost synergies. Our success in realizing these benefits and cost synergies, and the timing of this realization, depends on the successful integration of Stericycle. There is a significant degree of difficulty and management distraction inherent in the process of integrating an acquisition. The process of integrating operations could cause business interruption and distraction. Some members of our management may be required to devote considerable time to this integration process, which will decrease the time they will have to manage the Company, service existing customers, attract new customers and develop new products or strategies. If management is not able to effectively manage the integration process, or if any significant business activities are interrupted as a result of the integration process, our business, financial condition and results of operations could suffer.</w:t>
      </w:r>
    </w:p>
    <w:p>
      <w:pPr>
        <w:spacing w:after="0" w:line="106" w:lineRule="exact"/>
        <w:rPr>
          <w:sz w:val="20"/>
          <w:szCs w:val="20"/>
          <w:color w:val="auto"/>
        </w:rPr>
      </w:pPr>
    </w:p>
    <w:p>
      <w:pPr>
        <w:jc w:val="both"/>
        <w:ind w:left="60" w:right="59" w:firstLine="360"/>
        <w:spacing w:after="0"/>
        <w:rPr>
          <w:sz w:val="20"/>
          <w:szCs w:val="20"/>
          <w:color w:val="auto"/>
        </w:rPr>
      </w:pPr>
      <w:r>
        <w:rPr>
          <w:rFonts w:ascii="Times New Roman" w:cs="Times New Roman" w:eastAsia="Times New Roman" w:hAnsi="Times New Roman"/>
          <w:sz w:val="18"/>
          <w:szCs w:val="18"/>
          <w:color w:val="auto"/>
        </w:rPr>
        <w:t>The planned Stericycle acquisition may not result in realization of the benefits and cost synergies that we currently expect, and we cannot guarantee that these benefits and cost synergies will be achieved within anticipated time frames or at all. Additionally, we may incur substantial expenses in connection with the integration of Stericycle, which may exceed expectations and offset certain benefits.</w:t>
      </w:r>
    </w:p>
    <w:p>
      <w:pPr>
        <w:spacing w:after="0" w:line="167"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indebtedness following the consummation of the Stericycle acquisition will be greater than our existing indebtedness. It may be more difficult for us to pay or refinance our debts or take other actions, and we may need to divert cash flow from operations to debt service payments.</w:t>
      </w:r>
    </w:p>
    <w:p>
      <w:pPr>
        <w:spacing w:after="0" w:line="95" w:lineRule="exact"/>
        <w:rPr>
          <w:sz w:val="20"/>
          <w:szCs w:val="20"/>
          <w:color w:val="auto"/>
        </w:rPr>
      </w:pPr>
    </w:p>
    <w:p>
      <w:pPr>
        <w:jc w:val="both"/>
        <w:ind w:left="60" w:right="79" w:firstLine="360"/>
        <w:spacing w:after="0" w:line="266" w:lineRule="auto"/>
        <w:rPr>
          <w:sz w:val="20"/>
          <w:szCs w:val="20"/>
          <w:color w:val="auto"/>
        </w:rPr>
      </w:pPr>
      <w:r>
        <w:rPr>
          <w:rFonts w:ascii="Times New Roman" w:cs="Times New Roman" w:eastAsia="Times New Roman" w:hAnsi="Times New Roman"/>
          <w:sz w:val="18"/>
          <w:szCs w:val="18"/>
          <w:color w:val="auto"/>
        </w:rPr>
        <w:t>We intend to incur additional debt to pay for the planned Stericycle acquisition, which will result in our indebtedness following the consummation of the acquisition being greater than our current indebtedness. We may also incur additional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64" w:right="1440" w:bottom="1440" w:gutter="0" w:footer="0" w:header="0"/>
        </w:sectPr>
      </w:pPr>
    </w:p>
    <w:bookmarkStart w:id="43" w:name="page44"/>
    <w:bookmarkEnd w:id="43"/>
    <w:p>
      <w:pPr>
        <w:jc w:val="both"/>
        <w:ind w:left="60" w:right="59"/>
        <w:spacing w:after="0" w:line="235" w:lineRule="auto"/>
        <w:rPr>
          <w:sz w:val="20"/>
          <w:szCs w:val="20"/>
          <w:color w:val="auto"/>
        </w:rPr>
      </w:pPr>
      <w:r>
        <w:rPr>
          <w:rFonts w:ascii="Times New Roman" w:cs="Times New Roman" w:eastAsia="Times New Roman" w:hAnsi="Times New Roman"/>
          <w:sz w:val="18"/>
          <w:szCs w:val="18"/>
          <w:color w:val="auto"/>
        </w:rPr>
        <w:t>unsecured debt under our $3.5 billion revolving credit facility and under our commercial paper program, which is fully supported by such credit facility. Following consummation of the acquisition, our debt service obligations with respect to our increased indebtedness may require diversion of some cash flows from operations to debt service payments. We currently expect that, following the consummation of the acquisition, we will be able to generate sufficient cash on a consolidated basis to make all of the principal and interest payments when such payments are due under our $3.5 billion revolving credit facility, indentures and other instruments governing our outstanding indebtedness, but there can be no assurance that we will be able to repay or refinance such borrowings and obligations.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common stock repurchases made during the second quarter of 2024 (shares in millions):</w:t>
      </w:r>
    </w:p>
    <w:p>
      <w:pPr>
        <w:spacing w:after="0" w:line="5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Approximate Maximum</w:t>
            </w:r>
          </w:p>
        </w:tc>
        <w:tc>
          <w:tcPr>
            <w:tcW w:w="0" w:type="dxa"/>
            <w:vAlign w:val="bottom"/>
          </w:tcPr>
          <w:p>
            <w:pPr>
              <w:spacing w:after="0"/>
              <w:rPr>
                <w:sz w:val="1"/>
                <w:szCs w:val="1"/>
                <w:color w:val="auto"/>
              </w:rPr>
            </w:pPr>
          </w:p>
        </w:tc>
      </w:tr>
      <w:tr>
        <w:trPr>
          <w:trHeight w:val="148"/>
        </w:trPr>
        <w:tc>
          <w:tcPr>
            <w:tcW w:w="2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 of Shares that</w:t>
            </w:r>
          </w:p>
        </w:tc>
        <w:tc>
          <w:tcPr>
            <w:tcW w:w="0" w:type="dxa"/>
            <w:vAlign w:val="bottom"/>
          </w:tcPr>
          <w:p>
            <w:pPr>
              <w:spacing w:after="0"/>
              <w:rPr>
                <w:sz w:val="1"/>
                <w:szCs w:val="1"/>
                <w:color w:val="auto"/>
              </w:rPr>
            </w:pPr>
          </w:p>
        </w:tc>
      </w:tr>
      <w:tr>
        <w:trPr>
          <w:trHeight w:val="148"/>
        </w:trPr>
        <w:tc>
          <w:tcPr>
            <w:tcW w:w="22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420" w:type="dxa"/>
            <w:vAlign w:val="bottom"/>
          </w:tcPr>
          <w:p>
            <w:pPr>
              <w:spacing w:after="0"/>
              <w:rPr>
                <w:sz w:val="12"/>
                <w:szCs w:val="12"/>
                <w:color w:val="auto"/>
              </w:rPr>
            </w:pPr>
          </w:p>
        </w:tc>
        <w:tc>
          <w:tcPr>
            <w:tcW w:w="220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May Yet be Purchased Under</w:t>
            </w:r>
          </w:p>
        </w:tc>
        <w:tc>
          <w:tcPr>
            <w:tcW w:w="0" w:type="dxa"/>
            <w:vAlign w:val="bottom"/>
          </w:tcPr>
          <w:p>
            <w:pPr>
              <w:spacing w:after="0"/>
              <w:rPr>
                <w:sz w:val="1"/>
                <w:szCs w:val="1"/>
                <w:color w:val="auto"/>
              </w:rPr>
            </w:pPr>
          </w:p>
        </w:tc>
      </w:tr>
      <w:tr>
        <w:trPr>
          <w:trHeight w:val="173"/>
        </w:trPr>
        <w:tc>
          <w:tcPr>
            <w:tcW w:w="2280" w:type="dxa"/>
            <w:vAlign w:val="bottom"/>
            <w:gridSpan w:val="3"/>
            <w:vMerge w:val="continue"/>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per Share(a)</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the Plans or Programs(a)</w:t>
            </w:r>
          </w:p>
        </w:tc>
        <w:tc>
          <w:tcPr>
            <w:tcW w:w="0" w:type="dxa"/>
            <w:vAlign w:val="bottom"/>
          </w:tcPr>
          <w:p>
            <w:pPr>
              <w:spacing w:after="0"/>
              <w:rPr>
                <w:sz w:val="1"/>
                <w:szCs w:val="1"/>
                <w:color w:val="auto"/>
              </w:rPr>
            </w:pPr>
          </w:p>
        </w:tc>
      </w:tr>
      <w:tr>
        <w:trPr>
          <w:trHeight w:val="209"/>
        </w:trPr>
        <w:tc>
          <w:tcPr>
            <w:tcW w:w="2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 30 (b)</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207.33</w:t>
            </w:r>
          </w:p>
        </w:tc>
        <w:tc>
          <w:tcPr>
            <w:tcW w:w="4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1,238 million</w:t>
            </w: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May 1 — 31</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1,238 million</w:t>
            </w:r>
          </w:p>
        </w:tc>
        <w:tc>
          <w:tcPr>
            <w:tcW w:w="0" w:type="dxa"/>
            <w:vAlign w:val="bottom"/>
          </w:tcPr>
          <w:p>
            <w:pPr>
              <w:spacing w:after="0"/>
              <w:rPr>
                <w:sz w:val="1"/>
                <w:szCs w:val="1"/>
                <w:color w:val="auto"/>
              </w:rPr>
            </w:pPr>
          </w:p>
        </w:tc>
      </w:tr>
      <w:tr>
        <w:trPr>
          <w:trHeight w:val="216"/>
        </w:trPr>
        <w:tc>
          <w:tcPr>
            <w:tcW w:w="2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 30</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1,238 million (c)</w:t>
            </w:r>
          </w:p>
        </w:tc>
        <w:tc>
          <w:tcPr>
            <w:tcW w:w="0" w:type="dxa"/>
            <w:vAlign w:val="bottom"/>
          </w:tcPr>
          <w:p>
            <w:pPr>
              <w:spacing w:after="0"/>
              <w:rPr>
                <w:sz w:val="1"/>
                <w:szCs w:val="1"/>
                <w:color w:val="auto"/>
              </w:rPr>
            </w:pPr>
          </w:p>
        </w:tc>
      </w:tr>
      <w:tr>
        <w:trPr>
          <w:trHeight w:val="209"/>
        </w:trPr>
        <w:tc>
          <w:tcPr>
            <w:tcW w:w="2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80" w:right="79" w:hanging="330"/>
        <w:spacing w:after="0" w:line="282"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table above and footnotes below, the average price paid per share, total repurchase costs and approximate maximum dollar value of shares that may yet be purchased under the plans or programs exclude the 1% excise tax.</w:t>
      </w:r>
    </w:p>
    <w:p>
      <w:pPr>
        <w:spacing w:after="0" w:line="53" w:lineRule="exact"/>
        <w:rPr>
          <w:rFonts w:ascii="Times New Roman" w:cs="Times New Roman" w:eastAsia="Times New Roman" w:hAnsi="Times New Roman"/>
          <w:sz w:val="18"/>
          <w:szCs w:val="18"/>
          <w:color w:val="auto"/>
        </w:rPr>
      </w:pPr>
    </w:p>
    <w:p>
      <w:pPr>
        <w:jc w:val="both"/>
        <w:ind w:left="380" w:right="79" w:hanging="330"/>
        <w:spacing w:after="0" w:line="258"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repurchased 0.2 million shares of our common stock through a February 2024 ASR agreement that completed in April 2024, based on a final weighted average price of $206.23. Additionally, we repurchased 0.1 million shares in open market transactions in compliance with Rule 10b5-1 and Rule 10b-18 of the Exchange Act for $12 million, inclusive of per-share commissions, at a weighted average price of $209.20. See Note 11 to the Condensed Consolidated Financial Statements for additional information.</w:t>
      </w:r>
    </w:p>
    <w:p>
      <w:pPr>
        <w:spacing w:after="0" w:line="75" w:lineRule="exact"/>
        <w:rPr>
          <w:rFonts w:ascii="Times New Roman" w:cs="Times New Roman" w:eastAsia="Times New Roman" w:hAnsi="Times New Roman"/>
          <w:sz w:val="18"/>
          <w:szCs w:val="18"/>
          <w:color w:val="auto"/>
        </w:rPr>
      </w:pPr>
    </w:p>
    <w:p>
      <w:pPr>
        <w:jc w:val="both"/>
        <w:ind w:left="380" w:right="79" w:hanging="330"/>
        <w:spacing w:after="0" w:line="258"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June 30, 2024, the Company has authorization for $1,238 million of future share repurchases. As a result of the planned Stericycle acquisition, the Company previously announced that it has temporarily suspended share repurchases. The amount of future share repurchases executed under our Board of Directors’ authorization is determined in management’s discretion, based on various factors, including our net earnings, financial condition and cash required for future business plans, growth and acquisitions.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Defaults Upon Senior Securities.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Information concerning mine safety and other regulatory matters required by Section 1503(a) of the Dodd-Frank Wall Street Reform and Consumer Protection Act and Item 104 of Regulation S-K is included in Exhibit 95 to this quarterly report.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64"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Securities Trading Plans of Directors and Executive Officers</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During the quarter ended June 30, 2024, no executive officer or member of our Board of Directors adopted a securities trading plan.</w:t>
      </w:r>
    </w:p>
    <w:p>
      <w:pPr>
        <w:spacing w:after="0" w:line="162"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On June 2, 2024, Mr. James C. Fish, Jr., President, Chief Executive Officer and a member of our Board of Directors, terminated a stock trading plan that was adopted on March 2, 2024 (the “Trading Plan”) that was intended to satisfy the affirmative defense of Rule 10b5-1(c) under the Exchange Act. The Trading Plan was to commence on June 3, 2024 and was to automatically terminate on the earlier of June 3, 2025 and the completion of all of the contemplated transactions set forth therein. The Trading Plan provided for the potential sale of up to 86,209 shares of our common stock upon our common stock reaching specified market prices. The Trading Plan was terminated before it took effect, and no sales of shares under the Trading Plan occurred.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3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400" w:type="dxa"/>
            <w:vAlign w:val="bottom"/>
            <w:gridSpan w:val="14"/>
          </w:tcPr>
          <w:p>
            <w:pPr>
              <w:ind w:left="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20" w:type="dxa"/>
            <w:vAlign w:val="bottom"/>
          </w:tcPr>
          <w:p>
            <w:pPr>
              <w:spacing w:after="0"/>
              <w:rPr>
                <w:sz w:val="14"/>
                <w:szCs w:val="14"/>
                <w:color w:val="auto"/>
              </w:rPr>
            </w:pPr>
          </w:p>
        </w:tc>
        <w:tc>
          <w:tcPr>
            <w:tcW w:w="8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760" w:type="dxa"/>
            <w:vAlign w:val="bottom"/>
            <w:tcBorders>
              <w:top w:val="single" w:sz="8" w:color="auto"/>
            </w:tcBorders>
            <w:gridSpan w:val="20"/>
          </w:tcPr>
          <w:p>
            <w:pPr>
              <w:spacing w:after="0" w:line="169"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Agreement and Plan of Merger dated June 3, 2024 by and among WMI, Stag Merger Sub Inc. and</w:t>
              </w:r>
            </w:hyperlink>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9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Stericycle [Incorporated by reference to Exhibit 2.1 to Form 8-K filed June 5, 2024, as amended by Form</w:t>
              </w:r>
            </w:hyperlink>
          </w:p>
        </w:tc>
        <w:tc>
          <w:tcPr>
            <w:tcW w:w="180" w:type="dxa"/>
            <w:vAlign w:val="bottom"/>
            <w:gridSpan w:val="4"/>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8-K/A filed the same date] (pursuant to Item 601(b)(2) of Regulation S-K, exhibits and schedules to the</w:t>
              </w:r>
            </w:hyperlink>
          </w:p>
        </w:tc>
        <w:tc>
          <w:tcPr>
            <w:tcW w:w="300" w:type="dxa"/>
            <w:vAlign w:val="bottom"/>
            <w:gridSpan w:val="6"/>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5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Agreement and Plan of Merger have been omitted and will be supplementally provided to the SEC upon</w:t>
              </w:r>
            </w:hyperlink>
          </w:p>
        </w:tc>
        <w:tc>
          <w:tcPr>
            <w:tcW w:w="260" w:type="dxa"/>
            <w:vAlign w:val="bottom"/>
            <w:gridSpan w:val="5"/>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request).</w:t>
              </w:r>
            </w:hyperlink>
          </w:p>
        </w:tc>
        <w:tc>
          <w:tcPr>
            <w:tcW w:w="7140" w:type="dxa"/>
            <w:vAlign w:val="bottom"/>
            <w:gridSpan w:val="19"/>
          </w:tcPr>
          <w:p>
            <w:pPr>
              <w:spacing w:after="0"/>
              <w:rPr>
                <w:sz w:val="17"/>
                <w:szCs w:val="17"/>
                <w:color w:val="auto"/>
              </w:rPr>
            </w:pPr>
          </w:p>
        </w:tc>
      </w:tr>
      <w:tr>
        <w:trPr>
          <w:trHeight w:val="317"/>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24"/>
                <w:szCs w:val="24"/>
                <w:color w:val="auto"/>
              </w:rPr>
            </w:pPr>
          </w:p>
        </w:tc>
        <w:tc>
          <w:tcPr>
            <w:tcW w:w="776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55">
              <w:r>
                <w:rPr>
                  <w:rFonts w:ascii="Times New Roman" w:cs="Times New Roman" w:eastAsia="Times New Roman" w:hAnsi="Times New Roman"/>
                  <w:sz w:val="18"/>
                  <w:szCs w:val="18"/>
                  <w:color w:val="0000EE"/>
                  <w:w w:val="99"/>
                </w:rPr>
                <w:t>Fourth Restated Certificate of Incorporation of WMI [Incorporated by reference to Exhibit 3.2 to Form 8-K</w:t>
              </w:r>
            </w:hyperlink>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55">
              <w:r>
                <w:rPr>
                  <w:rFonts w:ascii="Times New Roman" w:cs="Times New Roman" w:eastAsia="Times New Roman" w:hAnsi="Times New Roman"/>
                  <w:sz w:val="18"/>
                  <w:szCs w:val="18"/>
                  <w:color w:val="0000EE"/>
                  <w:w w:val="99"/>
                </w:rPr>
                <w:t>filed May 17, 2024].</w:t>
              </w:r>
            </w:hyperlink>
          </w:p>
        </w:tc>
        <w:tc>
          <w:tcPr>
            <w:tcW w:w="6280" w:type="dxa"/>
            <w:vAlign w:val="bottom"/>
            <w:gridSpan w:val="17"/>
          </w:tcPr>
          <w:p>
            <w:pPr>
              <w:spacing w:after="0"/>
              <w:rPr>
                <w:sz w:val="17"/>
                <w:szCs w:val="17"/>
                <w:color w:val="auto"/>
              </w:rPr>
            </w:pPr>
          </w:p>
        </w:tc>
      </w:tr>
      <w:tr>
        <w:trPr>
          <w:trHeight w:val="31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24"/>
                <w:szCs w:val="24"/>
                <w:color w:val="auto"/>
              </w:rPr>
            </w:pPr>
          </w:p>
        </w:tc>
        <w:tc>
          <w:tcPr>
            <w:tcW w:w="77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Officers’ Certificate delivered pursuant to Section 301 of the Indenture dated September 10, 1997</w:t>
            </w: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8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establishing the terms and form of the 4.950% Senior Notes due 2027.</w:t>
            </w:r>
          </w:p>
        </w:tc>
        <w:tc>
          <w:tcPr>
            <w:tcW w:w="1980" w:type="dxa"/>
            <w:vAlign w:val="bottom"/>
            <w:tcBorders>
              <w:top w:val="single" w:sz="8" w:color="0000EE"/>
            </w:tcBorders>
          </w:tcPr>
          <w:p>
            <w:pPr>
              <w:spacing w:after="0"/>
              <w:rPr>
                <w:sz w:val="17"/>
                <w:szCs w:val="17"/>
                <w:color w:val="auto"/>
              </w:rPr>
            </w:pPr>
          </w:p>
        </w:tc>
        <w:tc>
          <w:tcPr>
            <w:tcW w:w="720" w:type="dxa"/>
            <w:vAlign w:val="bottom"/>
            <w:gridSpan w:val="9"/>
          </w:tcPr>
          <w:p>
            <w:pPr>
              <w:spacing w:after="0"/>
              <w:rPr>
                <w:sz w:val="17"/>
                <w:szCs w:val="17"/>
                <w:color w:val="auto"/>
              </w:rPr>
            </w:pPr>
          </w:p>
        </w:tc>
      </w:tr>
      <w:tr>
        <w:trPr>
          <w:trHeight w:val="31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24"/>
                <w:szCs w:val="24"/>
                <w:color w:val="auto"/>
              </w:rPr>
            </w:pPr>
          </w:p>
        </w:tc>
        <w:tc>
          <w:tcPr>
            <w:tcW w:w="77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Officers’ Certificate delivered pursuant to Section 301 of the Indenture dated September 10, 1997</w:t>
            </w: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8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establishing the terms and form of the 4.950% Senior Notes due 2031.</w:t>
            </w:r>
          </w:p>
        </w:tc>
        <w:tc>
          <w:tcPr>
            <w:tcW w:w="1980" w:type="dxa"/>
            <w:vAlign w:val="bottom"/>
            <w:tcBorders>
              <w:top w:val="single" w:sz="8" w:color="0000EE"/>
            </w:tcBorders>
          </w:tcPr>
          <w:p>
            <w:pPr>
              <w:spacing w:after="0"/>
              <w:rPr>
                <w:sz w:val="17"/>
                <w:szCs w:val="17"/>
                <w:color w:val="auto"/>
              </w:rPr>
            </w:pPr>
          </w:p>
        </w:tc>
        <w:tc>
          <w:tcPr>
            <w:tcW w:w="720" w:type="dxa"/>
            <w:vAlign w:val="bottom"/>
            <w:gridSpan w:val="9"/>
          </w:tcPr>
          <w:p>
            <w:pPr>
              <w:spacing w:after="0"/>
              <w:rPr>
                <w:sz w:val="17"/>
                <w:szCs w:val="17"/>
                <w:color w:val="auto"/>
              </w:rPr>
            </w:pPr>
          </w:p>
        </w:tc>
      </w:tr>
      <w:tr>
        <w:trPr>
          <w:trHeight w:val="31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24"/>
                <w:szCs w:val="24"/>
                <w:color w:val="auto"/>
              </w:rPr>
            </w:pPr>
          </w:p>
        </w:tc>
        <w:tc>
          <w:tcPr>
            <w:tcW w:w="77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Guarantee Agreement by WM Holdings in favor of The Bank of New York Mellon Trust Company, N.A.,</w:t>
            </w: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2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as Trustee for the holders of the 4.950% Senior Notes due 2027.</w:t>
            </w:r>
          </w:p>
        </w:tc>
        <w:tc>
          <w:tcPr>
            <w:tcW w:w="160" w:type="dxa"/>
            <w:vAlign w:val="bottom"/>
            <w:gridSpan w:val="3"/>
          </w:tcPr>
          <w:p>
            <w:pPr>
              <w:spacing w:after="0"/>
              <w:rPr>
                <w:sz w:val="17"/>
                <w:szCs w:val="17"/>
                <w:color w:val="auto"/>
              </w:rPr>
            </w:pPr>
          </w:p>
        </w:tc>
      </w:tr>
      <w:tr>
        <w:trPr>
          <w:trHeight w:val="20"/>
        </w:trPr>
        <w:tc>
          <w:tcPr>
            <w:tcW w:w="9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24"/>
                <w:szCs w:val="24"/>
                <w:color w:val="auto"/>
              </w:rPr>
            </w:pPr>
          </w:p>
        </w:tc>
        <w:tc>
          <w:tcPr>
            <w:tcW w:w="77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Guarantee Agreement by WM Holdings in favor of The Bank of New York Mellon Trust Company, N.A.,</w:t>
            </w: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2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as Trustee for the holders of the 4.950% Senior Notes due 2031.</w:t>
            </w:r>
          </w:p>
        </w:tc>
        <w:tc>
          <w:tcPr>
            <w:tcW w:w="160" w:type="dxa"/>
            <w:vAlign w:val="bottom"/>
            <w:gridSpan w:val="3"/>
          </w:tcPr>
          <w:p>
            <w:pPr>
              <w:spacing w:after="0"/>
              <w:rPr>
                <w:sz w:val="17"/>
                <w:szCs w:val="17"/>
                <w:color w:val="auto"/>
              </w:rPr>
            </w:pPr>
          </w:p>
        </w:tc>
      </w:tr>
      <w:tr>
        <w:trPr>
          <w:trHeight w:val="20"/>
        </w:trPr>
        <w:tc>
          <w:tcPr>
            <w:tcW w:w="9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24"/>
                <w:szCs w:val="24"/>
                <w:color w:val="auto"/>
              </w:rPr>
            </w:pPr>
          </w:p>
        </w:tc>
        <w:tc>
          <w:tcPr>
            <w:tcW w:w="7780" w:type="dxa"/>
            <w:vAlign w:val="bottom"/>
            <w:gridSpan w:val="21"/>
          </w:tcPr>
          <w:p>
            <w:pPr>
              <w:spacing w:after="0"/>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3.5 Billion Seventh Amended and Restated Revolving Credit Agreement dated as of May 8, 2024 by and</w:t>
              </w:r>
            </w:hyperlink>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5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80" w:type="dxa"/>
            <w:vAlign w:val="bottom"/>
            <w:gridSpan w:val="21"/>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among WMI, Waste Management of Canada Corporation, WM Quebec Inc. and WM Holdings., certain</w:t>
              </w:r>
            </w:hyperlink>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5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80" w:type="dxa"/>
            <w:vAlign w:val="bottom"/>
            <w:gridSpan w:val="21"/>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banks party thereto, and Bank of America, N.A., as administrative agent [Incorporated by reference to</w:t>
              </w:r>
            </w:hyperlink>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8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Exhibit 10.1 to Form 8-K filed May 10, 2024].</w:t>
              </w:r>
            </w:hyperlink>
          </w:p>
        </w:tc>
        <w:tc>
          <w:tcPr>
            <w:tcW w:w="4380" w:type="dxa"/>
            <w:vAlign w:val="bottom"/>
            <w:tcBorders>
              <w:top w:val="single" w:sz="8" w:color="0000EE"/>
            </w:tcBorders>
            <w:gridSpan w:val="13"/>
          </w:tcPr>
          <w:p>
            <w:pPr>
              <w:spacing w:after="0"/>
              <w:rPr>
                <w:sz w:val="17"/>
                <w:szCs w:val="17"/>
                <w:color w:val="auto"/>
              </w:rPr>
            </w:pPr>
          </w:p>
        </w:tc>
        <w:tc>
          <w:tcPr>
            <w:tcW w:w="20" w:type="dxa"/>
            <w:vAlign w:val="bottom"/>
          </w:tcPr>
          <w:p>
            <w:pPr>
              <w:spacing w:after="0"/>
              <w:rPr>
                <w:sz w:val="17"/>
                <w:szCs w:val="17"/>
                <w:color w:val="auto"/>
              </w:rPr>
            </w:pPr>
          </w:p>
        </w:tc>
      </w:tr>
      <w:tr>
        <w:trPr>
          <w:trHeight w:val="317"/>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22.1*</w:t>
            </w:r>
          </w:p>
        </w:tc>
        <w:tc>
          <w:tcPr>
            <w:tcW w:w="220" w:type="dxa"/>
            <w:vAlign w:val="bottom"/>
          </w:tcPr>
          <w:p>
            <w:pPr>
              <w:spacing w:after="0"/>
              <w:rPr>
                <w:sz w:val="24"/>
                <w:szCs w:val="24"/>
                <w:color w:val="auto"/>
              </w:rPr>
            </w:pPr>
          </w:p>
        </w:tc>
        <w:tc>
          <w:tcPr>
            <w:tcW w:w="77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Guarantor Subsidiary.</w:t>
            </w:r>
          </w:p>
        </w:tc>
      </w:tr>
      <w:tr>
        <w:trPr>
          <w:trHeight w:val="20"/>
        </w:trPr>
        <w:tc>
          <w:tcPr>
            <w:tcW w:w="9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24"/>
                <w:szCs w:val="24"/>
                <w:color w:val="auto"/>
              </w:rPr>
            </w:pPr>
          </w:p>
        </w:tc>
        <w:tc>
          <w:tcPr>
            <w:tcW w:w="766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Certification Pursuant to Rules 13a-14(a) and 15d-14(a) under the Securities Exchange Act of 1934 James</w:t>
            </w:r>
          </w:p>
        </w:tc>
        <w:tc>
          <w:tcPr>
            <w:tcW w:w="120" w:type="dxa"/>
            <w:vAlign w:val="bottom"/>
            <w:gridSpan w:val="2"/>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6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C. Fish, Jr., President and Chief Executive Officer.</w:t>
            </w:r>
          </w:p>
        </w:tc>
        <w:tc>
          <w:tcPr>
            <w:tcW w:w="4120" w:type="dxa"/>
            <w:vAlign w:val="bottom"/>
            <w:gridSpan w:val="13"/>
          </w:tcPr>
          <w:p>
            <w:pPr>
              <w:spacing w:after="0"/>
              <w:rPr>
                <w:sz w:val="17"/>
                <w:szCs w:val="17"/>
                <w:color w:val="auto"/>
              </w:rPr>
            </w:pPr>
          </w:p>
        </w:tc>
      </w:tr>
      <w:tr>
        <w:trPr>
          <w:trHeight w:val="31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24"/>
                <w:szCs w:val="24"/>
                <w:color w:val="auto"/>
              </w:rPr>
            </w:pPr>
          </w:p>
        </w:tc>
        <w:tc>
          <w:tcPr>
            <w:tcW w:w="776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Certification Pursuant to Rules 13a-14(a) and 15d-14(a) under the Securities Exchange Act of 1934 Devina</w:t>
            </w:r>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A. Rankin, Executive Vice President and Chief Financial Officer.</w:t>
            </w:r>
          </w:p>
        </w:tc>
      </w:tr>
      <w:tr>
        <w:trPr>
          <w:trHeight w:val="20"/>
        </w:trPr>
        <w:tc>
          <w:tcPr>
            <w:tcW w:w="9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880" w:type="dxa"/>
            <w:vAlign w:val="bottom"/>
            <w:gridSpan w:val="4"/>
            <w:shd w:val="clear" w:color="auto" w:fill="0000EE"/>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r>
      <w:tr>
        <w:trPr>
          <w:trHeight w:val="31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24"/>
                <w:szCs w:val="24"/>
                <w:color w:val="auto"/>
              </w:rPr>
            </w:pPr>
          </w:p>
        </w:tc>
        <w:tc>
          <w:tcPr>
            <w:tcW w:w="740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Certification Pursuant to 18 U.S.C. §1350 of James C. Fish, Jr., President and Chief Executive Officer.</w:t>
            </w:r>
          </w:p>
        </w:tc>
        <w:tc>
          <w:tcPr>
            <w:tcW w:w="380" w:type="dxa"/>
            <w:vAlign w:val="bottom"/>
            <w:gridSpan w:val="7"/>
          </w:tcPr>
          <w:p>
            <w:pPr>
              <w:spacing w:after="0"/>
              <w:rPr>
                <w:sz w:val="24"/>
                <w:szCs w:val="24"/>
                <w:color w:val="auto"/>
              </w:rPr>
            </w:pPr>
          </w:p>
        </w:tc>
      </w:tr>
      <w:tr>
        <w:trPr>
          <w:trHeight w:val="31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32.2**</w:t>
            </w:r>
          </w:p>
        </w:tc>
        <w:tc>
          <w:tcPr>
            <w:tcW w:w="220" w:type="dxa"/>
            <w:vAlign w:val="bottom"/>
          </w:tcPr>
          <w:p>
            <w:pPr>
              <w:spacing w:after="0"/>
              <w:rPr>
                <w:sz w:val="24"/>
                <w:szCs w:val="24"/>
                <w:color w:val="auto"/>
              </w:rPr>
            </w:pPr>
          </w:p>
        </w:tc>
        <w:tc>
          <w:tcPr>
            <w:tcW w:w="722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Certification Pursuant to 18 U.S.C. §1350 of Devina A. Rankin, Executive Vice President and Chief</w:t>
            </w:r>
          </w:p>
        </w:tc>
        <w:tc>
          <w:tcPr>
            <w:tcW w:w="560" w:type="dxa"/>
            <w:vAlign w:val="bottom"/>
            <w:gridSpan w:val="8"/>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Financial Officer.</w:t>
            </w:r>
          </w:p>
        </w:tc>
        <w:tc>
          <w:tcPr>
            <w:tcW w:w="6500" w:type="dxa"/>
            <w:vAlign w:val="bottom"/>
            <w:gridSpan w:val="18"/>
          </w:tcPr>
          <w:p>
            <w:pPr>
              <w:spacing w:after="0"/>
              <w:rPr>
                <w:sz w:val="17"/>
                <w:szCs w:val="17"/>
                <w:color w:val="auto"/>
              </w:rPr>
            </w:pPr>
          </w:p>
        </w:tc>
      </w:tr>
      <w:tr>
        <w:trPr>
          <w:trHeight w:val="31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95*</w:t>
            </w:r>
          </w:p>
        </w:tc>
        <w:tc>
          <w:tcPr>
            <w:tcW w:w="220" w:type="dxa"/>
            <w:vAlign w:val="bottom"/>
          </w:tcPr>
          <w:p>
            <w:pPr>
              <w:spacing w:after="0"/>
              <w:rPr>
                <w:sz w:val="24"/>
                <w:szCs w:val="24"/>
                <w:color w:val="auto"/>
              </w:rPr>
            </w:pPr>
          </w:p>
        </w:tc>
        <w:tc>
          <w:tcPr>
            <w:tcW w:w="77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Mine Safety Disclosures.</w:t>
            </w:r>
          </w:p>
        </w:tc>
      </w:tr>
      <w:tr>
        <w:trPr>
          <w:trHeight w:val="35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220" w:type="dxa"/>
            <w:vAlign w:val="bottom"/>
          </w:tcPr>
          <w:p>
            <w:pPr>
              <w:spacing w:after="0"/>
              <w:rPr>
                <w:sz w:val="24"/>
                <w:szCs w:val="24"/>
                <w:color w:val="auto"/>
              </w:rPr>
            </w:pPr>
          </w:p>
        </w:tc>
        <w:tc>
          <w:tcPr>
            <w:tcW w:w="182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auto"/>
              </w:rPr>
              <w:t>Inline XBRL Instance.</w:t>
            </w:r>
          </w:p>
        </w:tc>
        <w:tc>
          <w:tcPr>
            <w:tcW w:w="5960" w:type="dxa"/>
            <w:vAlign w:val="bottom"/>
            <w:gridSpan w:val="15"/>
          </w:tcPr>
          <w:p>
            <w:pPr>
              <w:spacing w:after="0"/>
              <w:rPr>
                <w:sz w:val="24"/>
                <w:szCs w:val="24"/>
                <w:color w:val="auto"/>
              </w:rPr>
            </w:pPr>
          </w:p>
        </w:tc>
      </w:tr>
      <w:tr>
        <w:trPr>
          <w:trHeight w:val="33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220" w:type="dxa"/>
            <w:vAlign w:val="bottom"/>
          </w:tcPr>
          <w:p>
            <w:pPr>
              <w:spacing w:after="0"/>
              <w:rPr>
                <w:sz w:val="24"/>
                <w:szCs w:val="24"/>
                <w:color w:val="auto"/>
              </w:rPr>
            </w:pPr>
          </w:p>
        </w:tc>
        <w:tc>
          <w:tcPr>
            <w:tcW w:w="77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33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220" w:type="dxa"/>
            <w:vAlign w:val="bottom"/>
          </w:tcPr>
          <w:p>
            <w:pPr>
              <w:spacing w:after="0"/>
              <w:rPr>
                <w:sz w:val="24"/>
                <w:szCs w:val="24"/>
                <w:color w:val="auto"/>
              </w:rPr>
            </w:pPr>
          </w:p>
        </w:tc>
        <w:tc>
          <w:tcPr>
            <w:tcW w:w="77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r>
      <w:tr>
        <w:trPr>
          <w:trHeight w:val="33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220" w:type="dxa"/>
            <w:vAlign w:val="bottom"/>
          </w:tcPr>
          <w:p>
            <w:pPr>
              <w:spacing w:after="0"/>
              <w:rPr>
                <w:sz w:val="24"/>
                <w:szCs w:val="24"/>
                <w:color w:val="auto"/>
              </w:rPr>
            </w:pPr>
          </w:p>
        </w:tc>
        <w:tc>
          <w:tcPr>
            <w:tcW w:w="77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Labels.</w:t>
            </w:r>
          </w:p>
        </w:tc>
      </w:tr>
      <w:tr>
        <w:trPr>
          <w:trHeight w:val="33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220" w:type="dxa"/>
            <w:vAlign w:val="bottom"/>
          </w:tcPr>
          <w:p>
            <w:pPr>
              <w:spacing w:after="0"/>
              <w:rPr>
                <w:sz w:val="24"/>
                <w:szCs w:val="24"/>
                <w:color w:val="auto"/>
              </w:rPr>
            </w:pPr>
          </w:p>
        </w:tc>
        <w:tc>
          <w:tcPr>
            <w:tcW w:w="77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r>
      <w:tr>
        <w:trPr>
          <w:trHeight w:val="337"/>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220" w:type="dxa"/>
            <w:vAlign w:val="bottom"/>
          </w:tcPr>
          <w:p>
            <w:pPr>
              <w:spacing w:after="0"/>
              <w:rPr>
                <w:sz w:val="24"/>
                <w:szCs w:val="24"/>
                <w:color w:val="auto"/>
              </w:rPr>
            </w:pPr>
          </w:p>
        </w:tc>
        <w:tc>
          <w:tcPr>
            <w:tcW w:w="77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Definition.</w:t>
            </w:r>
          </w:p>
        </w:tc>
      </w:tr>
      <w:tr>
        <w:trPr>
          <w:trHeight w:val="33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4"/>
                <w:szCs w:val="24"/>
                <w:color w:val="auto"/>
              </w:rPr>
            </w:pPr>
          </w:p>
        </w:tc>
        <w:tc>
          <w:tcPr>
            <w:tcW w:w="77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77470</wp:posOffset>
            </wp:positionV>
            <wp:extent cx="141414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87" w:lineRule="exact"/>
        <w:rPr>
          <w:sz w:val="20"/>
          <w:szCs w:val="20"/>
          <w:color w:val="auto"/>
        </w:rPr>
      </w:pPr>
    </w:p>
    <w:p>
      <w:pPr>
        <w:ind w:left="300" w:hanging="250"/>
        <w:spacing w:after="0"/>
        <w:tabs>
          <w:tab w:leader="none" w:pos="3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Furnished herewith.</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76" w:right="1440"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25" w:lineRule="exact"/>
        <w:rPr>
          <w:sz w:val="20"/>
          <w:szCs w:val="20"/>
          <w:color w:val="auto"/>
        </w:rPr>
      </w:pPr>
    </w:p>
    <w:tbl>
      <w:tblPr>
        <w:tblLayout w:type="fixed"/>
        <w:tblInd w:w="458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DEVINA A. RANKIN</w:t>
            </w:r>
          </w:p>
        </w:tc>
      </w:tr>
      <w:tr>
        <w:trPr>
          <w:trHeight w:val="189"/>
        </w:trPr>
        <w:tc>
          <w:tcPr>
            <w:tcW w:w="340" w:type="dxa"/>
            <w:vAlign w:val="bottom"/>
          </w:tcPr>
          <w:p>
            <w:pPr>
              <w:spacing w:after="0"/>
              <w:rPr>
                <w:sz w:val="16"/>
                <w:szCs w:val="16"/>
                <w:color w:val="auto"/>
              </w:rPr>
            </w:pPr>
          </w:p>
        </w:tc>
        <w:tc>
          <w:tcPr>
            <w:tcW w:w="40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Devina A. Rankin</w:t>
            </w:r>
          </w:p>
        </w:tc>
      </w:tr>
      <w:tr>
        <w:trPr>
          <w:trHeight w:val="216"/>
        </w:trPr>
        <w:tc>
          <w:tcPr>
            <w:tcW w:w="34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Executive Vice President and</w:t>
            </w:r>
          </w:p>
        </w:tc>
      </w:tr>
      <w:tr>
        <w:trPr>
          <w:trHeight w:val="216"/>
        </w:trPr>
        <w:tc>
          <w:tcPr>
            <w:tcW w:w="34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36"/>
        </w:trPr>
        <w:tc>
          <w:tcPr>
            <w:tcW w:w="340" w:type="dxa"/>
            <w:vAlign w:val="bottom"/>
          </w:tcPr>
          <w:p>
            <w:pPr>
              <w:spacing w:after="0"/>
              <w:rPr>
                <w:sz w:val="20"/>
                <w:szCs w:val="20"/>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r>
        <w:trPr>
          <w:trHeight w:val="432"/>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INC.</w:t>
            </w:r>
          </w:p>
        </w:tc>
      </w:tr>
      <w:tr>
        <w:trPr>
          <w:trHeight w:val="432"/>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JOHN CARROLL</w:t>
            </w:r>
          </w:p>
        </w:tc>
      </w:tr>
      <w:tr>
        <w:trPr>
          <w:trHeight w:val="189"/>
        </w:trPr>
        <w:tc>
          <w:tcPr>
            <w:tcW w:w="340" w:type="dxa"/>
            <w:vAlign w:val="bottom"/>
          </w:tcPr>
          <w:p>
            <w:pPr>
              <w:spacing w:after="0"/>
              <w:rPr>
                <w:sz w:val="16"/>
                <w:szCs w:val="16"/>
                <w:color w:val="auto"/>
              </w:rPr>
            </w:pPr>
          </w:p>
        </w:tc>
        <w:tc>
          <w:tcPr>
            <w:tcW w:w="40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John Carroll</w:t>
            </w:r>
          </w:p>
        </w:tc>
      </w:tr>
      <w:tr>
        <w:trPr>
          <w:trHeight w:val="216"/>
        </w:trPr>
        <w:tc>
          <w:tcPr>
            <w:tcW w:w="34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Vice President and</w:t>
            </w:r>
          </w:p>
        </w:tc>
      </w:tr>
      <w:tr>
        <w:trPr>
          <w:trHeight w:val="216"/>
        </w:trPr>
        <w:tc>
          <w:tcPr>
            <w:tcW w:w="34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Chief Accounting Officer</w:t>
            </w:r>
          </w:p>
        </w:tc>
      </w:tr>
      <w:tr>
        <w:trPr>
          <w:trHeight w:val="236"/>
        </w:trPr>
        <w:tc>
          <w:tcPr>
            <w:tcW w:w="340" w:type="dxa"/>
            <w:vAlign w:val="bottom"/>
          </w:tcPr>
          <w:p>
            <w:pPr>
              <w:spacing w:after="0"/>
              <w:rPr>
                <w:sz w:val="20"/>
                <w:szCs w:val="20"/>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July 25,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47" w:name="page48"/>
    <w:bookmarkEnd w:id="47"/>
    <w:p>
      <w:pPr>
        <w:jc w:val="right"/>
        <w:ind w:right="219"/>
        <w:spacing w:after="0"/>
        <w:rPr>
          <w:sz w:val="20"/>
          <w:szCs w:val="20"/>
          <w:color w:val="auto"/>
        </w:rPr>
      </w:pPr>
      <w:r>
        <w:rPr>
          <w:rFonts w:ascii="Times New Roman" w:cs="Times New Roman" w:eastAsia="Times New Roman" w:hAnsi="Times New Roman"/>
          <w:sz w:val="22"/>
          <w:szCs w:val="22"/>
          <w:b w:val="1"/>
          <w:bCs w:val="1"/>
          <w:color w:val="auto"/>
        </w:rPr>
        <w:t>Exhibit 4.1</w:t>
      </w:r>
    </w:p>
    <w:p>
      <w:pPr>
        <w:spacing w:after="0" w:line="396" w:lineRule="exact"/>
        <w:rPr>
          <w:sz w:val="20"/>
          <w:szCs w:val="20"/>
          <w:color w:val="auto"/>
        </w:rPr>
      </w:pPr>
    </w:p>
    <w:p>
      <w:pPr>
        <w:jc w:val="center"/>
        <w:ind w:left="200" w:right="219"/>
        <w:spacing w:after="0" w:line="246" w:lineRule="auto"/>
        <w:rPr>
          <w:sz w:val="20"/>
          <w:szCs w:val="20"/>
          <w:color w:val="auto"/>
        </w:rPr>
      </w:pPr>
      <w:r>
        <w:rPr>
          <w:rFonts w:ascii="Times New Roman" w:cs="Times New Roman" w:eastAsia="Times New Roman" w:hAnsi="Times New Roman"/>
          <w:sz w:val="22"/>
          <w:szCs w:val="22"/>
          <w:b w:val="1"/>
          <w:bCs w:val="1"/>
          <w:color w:val="auto"/>
        </w:rPr>
        <w:t>WASTE MANAGEMENT, INC. Officers’ Certificate Delivered Pursuant to Section 301 of the Indenture dated as of September 10, 1997</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July 3, 2024</w:t>
      </w:r>
    </w:p>
    <w:p>
      <w:pPr>
        <w:spacing w:after="0" w:line="21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The undersigned, the Vice President and Treasurer, and the Vice President and</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Corporate Secretary of Waste Management, Inc. (the “Company”), hereby certify that:</w:t>
      </w:r>
    </w:p>
    <w:p>
      <w:pPr>
        <w:spacing w:after="0" w:line="182" w:lineRule="exact"/>
        <w:rPr>
          <w:sz w:val="20"/>
          <w:szCs w:val="20"/>
          <w:color w:val="auto"/>
        </w:rPr>
      </w:pPr>
    </w:p>
    <w:p>
      <w:pPr>
        <w:jc w:val="both"/>
        <w:ind w:left="200" w:right="219" w:firstLine="1305"/>
        <w:spacing w:after="0" w:line="235" w:lineRule="auto"/>
        <w:tabs>
          <w:tab w:leader="none" w:pos="2144"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Officers’ Certificate (this “Certificate”) is delivered to The Bank of New York Mellon Trust Company, N.A. (the current successor to Texas Commerce Bank National Association), as trustee (the “Trustee”), pursuant to Sections 102 and 301 of the Indenture dated as of September 10, 1997 between the Company, formerly known as USA Waste Services, Inc., and the Trustee (the “Indenture”) in connection with the Company Order dated July 3, 2024 (the “Order”) for the authentication and delivery by the Trustee of $750,000,000 aggregate principal amount of 4.950% Senior Notes due 2027 (the “Notes”).</w:t>
      </w:r>
    </w:p>
    <w:p>
      <w:pPr>
        <w:spacing w:after="0" w:line="183" w:lineRule="exact"/>
        <w:rPr>
          <w:rFonts w:ascii="Times New Roman" w:cs="Times New Roman" w:eastAsia="Times New Roman" w:hAnsi="Times New Roman"/>
          <w:sz w:val="22"/>
          <w:szCs w:val="22"/>
          <w:color w:val="auto"/>
        </w:rPr>
      </w:pPr>
    </w:p>
    <w:p>
      <w:pPr>
        <w:ind w:left="200" w:right="219" w:firstLine="1305"/>
        <w:spacing w:after="0" w:line="258" w:lineRule="auto"/>
        <w:tabs>
          <w:tab w:leader="none" w:pos="2144"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undersigned have read Sections 102, 103, 301 and 303 of the Indenture and the definitions in the Indenture relating thereto.</w:t>
      </w:r>
    </w:p>
    <w:p>
      <w:pPr>
        <w:spacing w:after="0" w:line="158" w:lineRule="exact"/>
        <w:rPr>
          <w:rFonts w:ascii="Times New Roman" w:cs="Times New Roman" w:eastAsia="Times New Roman" w:hAnsi="Times New Roman"/>
          <w:sz w:val="22"/>
          <w:szCs w:val="22"/>
          <w:color w:val="auto"/>
        </w:rPr>
      </w:pPr>
    </w:p>
    <w:p>
      <w:pPr>
        <w:jc w:val="both"/>
        <w:ind w:left="200" w:right="239" w:firstLine="1305"/>
        <w:spacing w:after="0" w:line="239" w:lineRule="auto"/>
        <w:tabs>
          <w:tab w:leader="none" w:pos="2144"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statements made herein are based either upon the personal knowledge of the persons making this Certificate or on information, data and reports furnished to such persons by the officers, counsel, department heads or employees of the Company who have knowledge of the facts involved.</w:t>
      </w:r>
    </w:p>
    <w:p>
      <w:pPr>
        <w:spacing w:after="0" w:line="180" w:lineRule="exact"/>
        <w:rPr>
          <w:rFonts w:ascii="Times New Roman" w:cs="Times New Roman" w:eastAsia="Times New Roman" w:hAnsi="Times New Roman"/>
          <w:sz w:val="22"/>
          <w:szCs w:val="22"/>
          <w:color w:val="auto"/>
        </w:rPr>
      </w:pPr>
    </w:p>
    <w:p>
      <w:pPr>
        <w:ind w:left="200" w:right="239" w:firstLine="1305"/>
        <w:spacing w:after="0" w:line="258" w:lineRule="auto"/>
        <w:tabs>
          <w:tab w:leader="none" w:pos="2144"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undersigned have examined the Order, and they have read the covenants, conditions and provisions of the Indenture relating thereto.</w:t>
      </w:r>
    </w:p>
    <w:p>
      <w:pPr>
        <w:spacing w:after="0" w:line="158"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opinion of the persons making this Certificate, they have made such examination or investigation as is necessary to enable them to express an informed opinion as to whether or not all covenants and conditions provided for in the Indenture with respect to the Order have been complied with.</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covenants and conditions (including all conditions precedent) provided in the Indenture to the authentication and delivery by the Trustee of $750,000,000 aggregate principal amount of the Notes have been complied with, and such Notes may be delivered in accordance with the Order as provided in the Indenture.</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terms of the Notes (including the Form of Note) as set forth in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xml:space="preserve"> to this Certificate have been approved by officers of the Company as authorized by resolutions duly adopted on March 1, 2022 and August 21, 2023 by the Board of Directors of the Company, which are in full force and effect as of the date hereof.</w:t>
      </w:r>
    </w:p>
    <w:p>
      <w:pPr>
        <w:spacing w:after="0" w:line="17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647700</wp:posOffset>
            </wp:positionV>
            <wp:extent cx="545211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8" w:name="page49"/>
    <w:bookmarkEnd w:id="48"/>
    <w:p>
      <w:pPr>
        <w:ind w:left="200" w:right="439" w:firstLine="1296"/>
        <w:spacing w:after="0" w:line="259" w:lineRule="auto"/>
        <w:rPr>
          <w:sz w:val="20"/>
          <w:szCs w:val="20"/>
          <w:color w:val="auto"/>
        </w:rPr>
      </w:pPr>
      <w:r>
        <w:rPr>
          <w:rFonts w:ascii="Times New Roman" w:cs="Times New Roman" w:eastAsia="Times New Roman" w:hAnsi="Times New Roman"/>
          <w:sz w:val="22"/>
          <w:szCs w:val="22"/>
          <w:color w:val="auto"/>
        </w:rPr>
        <w:t>IN WITNESS WHEREOF, the undersigned have hereunto executed this Officers’ Certificate as of the date first written above.</w:t>
      </w:r>
    </w:p>
    <w:p>
      <w:pPr>
        <w:spacing w:after="0" w:line="200" w:lineRule="exact"/>
        <w:rPr>
          <w:sz w:val="20"/>
          <w:szCs w:val="20"/>
          <w:color w:val="auto"/>
        </w:rPr>
      </w:pPr>
    </w:p>
    <w:p>
      <w:pPr>
        <w:spacing w:after="0" w:line="22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i w:val="1"/>
          <w:iCs w:val="1"/>
          <w:color w:val="auto"/>
        </w:rPr>
        <w:t>/s/ Leslie K. Nagy</w:t>
      </w:r>
    </w:p>
    <w:p>
      <w:pPr>
        <w:spacing w:after="0" w:line="3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Leslie K. Nagy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-158750</wp:posOffset>
            </wp:positionV>
            <wp:extent cx="260604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ind w:left="4600"/>
        <w:spacing w:after="0"/>
        <w:rPr>
          <w:sz w:val="20"/>
          <w:szCs w:val="20"/>
          <w:color w:val="auto"/>
        </w:rPr>
      </w:pPr>
      <w:r>
        <w:rPr>
          <w:rFonts w:ascii="Times New Roman" w:cs="Times New Roman" w:eastAsia="Times New Roman" w:hAnsi="Times New Roman"/>
          <w:sz w:val="22"/>
          <w:szCs w:val="22"/>
          <w:color w:val="auto"/>
        </w:rPr>
        <w:t>Vice President and Treasurer</w:t>
      </w:r>
    </w:p>
    <w:p>
      <w:pPr>
        <w:spacing w:after="0" w:line="20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i w:val="1"/>
          <w:iCs w:val="1"/>
          <w:color w:val="auto"/>
        </w:rPr>
        <w:t>/s/ Courtney A. Tippy</w:t>
      </w:r>
    </w:p>
    <w:p>
      <w:pPr>
        <w:spacing w:after="0" w:line="3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Courtney A. Tippy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-158750</wp:posOffset>
            </wp:positionV>
            <wp:extent cx="260604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ind w:left="4600"/>
        <w:spacing w:after="0"/>
        <w:rPr>
          <w:sz w:val="20"/>
          <w:szCs w:val="20"/>
          <w:color w:val="auto"/>
        </w:rPr>
      </w:pPr>
      <w:r>
        <w:rPr>
          <w:rFonts w:ascii="Times New Roman" w:cs="Times New Roman" w:eastAsia="Times New Roman" w:hAnsi="Times New Roman"/>
          <w:sz w:val="22"/>
          <w:szCs w:val="22"/>
          <w:color w:val="auto"/>
        </w:rPr>
        <w:t>Vice President and Corporate Secretary</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Officers’ Certificate Delivered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301 of the Indenture dated as of September 10, 1997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348615</wp:posOffset>
            </wp:positionV>
            <wp:extent cx="545211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Annex A</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Terms of the Notes</w:t>
      </w:r>
    </w:p>
    <w:p>
      <w:pPr>
        <w:spacing w:after="0" w:line="209" w:lineRule="exact"/>
        <w:rPr>
          <w:sz w:val="20"/>
          <w:szCs w:val="20"/>
          <w:color w:val="auto"/>
        </w:rPr>
      </w:pPr>
    </w:p>
    <w:p>
      <w:pPr>
        <w:jc w:val="both"/>
        <w:ind w:left="200" w:right="219" w:firstLine="1296"/>
        <w:spacing w:after="0" w:line="234" w:lineRule="auto"/>
        <w:rPr>
          <w:sz w:val="20"/>
          <w:szCs w:val="20"/>
          <w:color w:val="auto"/>
        </w:rPr>
      </w:pPr>
      <w:r>
        <w:rPr>
          <w:rFonts w:ascii="Times New Roman" w:cs="Times New Roman" w:eastAsia="Times New Roman" w:hAnsi="Times New Roman"/>
          <w:sz w:val="22"/>
          <w:szCs w:val="22"/>
          <w:color w:val="auto"/>
        </w:rPr>
        <w:t>Pursuant to authority granted by the Board of Directors of the Company on March 1, 2022 and August 21, 2023 and the Sole Director of Waste Management Holdings, Inc. on June 18, 2024, the Company has approved the establishment, issuance, execution and delivery of a new series of Securities (as defined in the Indenture) to be issued under the Indenture dated as of September 10, 1997 (the “Indenture”), between the Company, formerly known as USA Waste Services, Inc., and The Bank of New York Mellon Trust Company, N.A. (the current successor to Texas Commerce Bank National Association), as trustee (the “Trustee”), the terms of which are set forth below. Capitalized terms used but not defined herein are used herein as defined in the Indenture.</w:t>
      </w:r>
    </w:p>
    <w:p>
      <w:pPr>
        <w:spacing w:after="0" w:line="183" w:lineRule="exact"/>
        <w:rPr>
          <w:sz w:val="20"/>
          <w:szCs w:val="20"/>
          <w:color w:val="auto"/>
        </w:rPr>
      </w:pPr>
    </w:p>
    <w:p>
      <w:pPr>
        <w:ind w:left="860" w:hanging="651"/>
        <w:spacing w:after="0"/>
        <w:tabs>
          <w:tab w:leader="none" w:pos="86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title of the series of Securities shall be “4.950% Senior Notes due 2027” (the “Notes”).</w:t>
      </w:r>
    </w:p>
    <w:p>
      <w:pPr>
        <w:spacing w:after="0" w:line="217" w:lineRule="exact"/>
        <w:rPr>
          <w:rFonts w:ascii="Times New Roman" w:cs="Times New Roman" w:eastAsia="Times New Roman" w:hAnsi="Times New Roman"/>
          <w:sz w:val="21"/>
          <w:szCs w:val="21"/>
          <w:color w:val="auto"/>
        </w:rPr>
      </w:pPr>
    </w:p>
    <w:p>
      <w:pPr>
        <w:ind w:left="860" w:hanging="651"/>
        <w:spacing w:after="0"/>
        <w:tabs>
          <w:tab w:leader="none" w:pos="86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Notes shall be general unsecured, senior obligations of the Company.</w:t>
      </w:r>
    </w:p>
    <w:p>
      <w:pPr>
        <w:spacing w:after="0" w:line="206" w:lineRule="exact"/>
        <w:rPr>
          <w:rFonts w:ascii="Times New Roman" w:cs="Times New Roman" w:eastAsia="Times New Roman" w:hAnsi="Times New Roman"/>
          <w:sz w:val="22"/>
          <w:szCs w:val="22"/>
          <w:color w:val="auto"/>
        </w:rPr>
      </w:pPr>
    </w:p>
    <w:p>
      <w:pPr>
        <w:jc w:val="both"/>
        <w:ind w:left="860" w:right="219" w:hanging="651"/>
        <w:spacing w:after="0" w:line="235" w:lineRule="auto"/>
        <w:tabs>
          <w:tab w:leader="none" w:pos="86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initial aggregate principal amount of the Notes that may be authenticated and delivered under the Indenture shall be $750,000,000 (except for Notes authenticated and delivered upon registration of transfer of, or in exchange for, or in lieu of, other Notes pursuant to Section 304, 305, 306, 906 or 1107 of the Indenture); provided, however, that the authorized aggregate principal amount of such series may be increased before or after the issuance of any Notes of such series by a Board Resolution (or action pursuant to a Board Resolution) to such effect.</w:t>
      </w:r>
    </w:p>
    <w:p>
      <w:pPr>
        <w:spacing w:after="0" w:line="183"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amount of each Note shall be payable on July 3, 2027.</w:t>
      </w:r>
    </w:p>
    <w:p>
      <w:pPr>
        <w:spacing w:after="0" w:line="206" w:lineRule="exact"/>
        <w:rPr>
          <w:rFonts w:ascii="Times New Roman" w:cs="Times New Roman" w:eastAsia="Times New Roman" w:hAnsi="Times New Roman"/>
          <w:sz w:val="22"/>
          <w:szCs w:val="22"/>
          <w:color w:val="auto"/>
        </w:rPr>
      </w:pPr>
    </w:p>
    <w:p>
      <w:pPr>
        <w:jc w:val="both"/>
        <w:ind w:left="860" w:right="219" w:hanging="651"/>
        <w:spacing w:after="0" w:line="235" w:lineRule="auto"/>
        <w:tabs>
          <w:tab w:leader="none" w:pos="86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Note shall bear interest from July 3, 2024 at the fixed rate of 4.950% per annum; the Interest Payment Dates on which such interest shall be payable shall be January 3 and July 3 of each year, commencing January 3, 2025, until maturity, unless such date falls on a day that is not a Business Day, in which case, such payment shall be made on the next day that is a Business Day. The Regular Record Date for the determination of Holders to whom interest is payable shall be December 15 or June 15, respectively, immediately preceding such date, as the case may be.</w:t>
      </w:r>
    </w:p>
    <w:p>
      <w:pPr>
        <w:spacing w:after="0" w:line="183" w:lineRule="exact"/>
        <w:rPr>
          <w:rFonts w:ascii="Times New Roman" w:cs="Times New Roman" w:eastAsia="Times New Roman" w:hAnsi="Times New Roman"/>
          <w:sz w:val="22"/>
          <w:szCs w:val="22"/>
          <w:color w:val="auto"/>
        </w:rPr>
      </w:pPr>
    </w:p>
    <w:p>
      <w:pPr>
        <w:jc w:val="both"/>
        <w:ind w:left="860" w:right="219" w:hanging="651"/>
        <w:spacing w:after="0" w:line="239" w:lineRule="auto"/>
        <w:tabs>
          <w:tab w:leader="none" w:pos="86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“Change of Control Triggering Event” (as defined in the Notes) occurs, each Holder of the Notes may require the Company to purchase all or a portion of such Holder’s Notes at a price equal to 101% of the principal amount, plus accrued interest, if any, to the date of purchase, on the terms and subject to the conditions set forth in the Notes.</w:t>
      </w:r>
    </w:p>
    <w:p>
      <w:pPr>
        <w:spacing w:after="0" w:line="180" w:lineRule="exact"/>
        <w:rPr>
          <w:rFonts w:ascii="Times New Roman" w:cs="Times New Roman" w:eastAsia="Times New Roman" w:hAnsi="Times New Roman"/>
          <w:sz w:val="22"/>
          <w:szCs w:val="22"/>
          <w:color w:val="auto"/>
        </w:rPr>
      </w:pPr>
    </w:p>
    <w:p>
      <w:pPr>
        <w:jc w:val="both"/>
        <w:ind w:left="860" w:right="219" w:hanging="651"/>
        <w:spacing w:after="0" w:line="236" w:lineRule="auto"/>
        <w:tabs>
          <w:tab w:leader="none" w:pos="86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Notes are to be issued as Registered Securities only. Each Note is to be issued as a book-entry note (“Book-Entry Note”) but in certain circumstances may be represented by Notes in definitive form. The Book-Entry Notes shall be issued, in whole or in part, in the form of one or more Notes in global form as contemplated by Section 203 of the Indenture. The Depositary with respect to the Book-Entry Notes shall be The Depository Trust Company, New York,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569595</wp:posOffset>
            </wp:positionV>
            <wp:extent cx="545211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0" w:name="page51"/>
    <w:bookmarkEnd w:id="50"/>
    <w:p>
      <w:pPr>
        <w:jc w:val="both"/>
        <w:ind w:left="860" w:right="219" w:hanging="651"/>
        <w:spacing w:after="0" w:line="236" w:lineRule="auto"/>
        <w:tabs>
          <w:tab w:leader="none" w:pos="8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of principal of, premium, if any, and interest due on the Notes representing Book-Entry Notes on any Interest Payment Date or at maturity will be made available to the Trustee by 11:00 a.m., New York City time, on such date, unless such date falls on a day which is not a Business Day, in which case such payments will be made available to the Trustee by 11:00 a.m., New York City time, on the next Business Day. As soon as possible thereafter, the Trustee will make such payments to the Depositary.</w:t>
      </w:r>
    </w:p>
    <w:p>
      <w:pPr>
        <w:spacing w:after="0" w:line="182" w:lineRule="exact"/>
        <w:rPr>
          <w:rFonts w:ascii="Times New Roman" w:cs="Times New Roman" w:eastAsia="Times New Roman" w:hAnsi="Times New Roman"/>
          <w:sz w:val="22"/>
          <w:szCs w:val="22"/>
          <w:color w:val="auto"/>
        </w:rPr>
      </w:pPr>
    </w:p>
    <w:p>
      <w:pPr>
        <w:jc w:val="both"/>
        <w:ind w:left="860" w:right="239" w:hanging="651"/>
        <w:spacing w:after="0" w:line="261" w:lineRule="auto"/>
        <w:tabs>
          <w:tab w:leader="none" w:pos="860"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Prior to the Par Call Date, the Company may redeem the Notes at its option, in whole or in part, at any time and from time to time, at a Redemption Price (expressed as a percentage of principal amount and rounded to three decimal places) equal to the greater of:</w:t>
      </w:r>
    </w:p>
    <w:p>
      <w:pPr>
        <w:spacing w:after="0" w:line="157" w:lineRule="exact"/>
        <w:rPr>
          <w:rFonts w:ascii="Times New Roman" w:cs="Times New Roman" w:eastAsia="Times New Roman" w:hAnsi="Times New Roman"/>
          <w:sz w:val="21"/>
          <w:szCs w:val="21"/>
          <w:color w:val="auto"/>
        </w:rPr>
      </w:pPr>
    </w:p>
    <w:p>
      <w:pPr>
        <w:jc w:val="both"/>
        <w:ind w:left="1500" w:right="219" w:firstLine="5"/>
        <w:spacing w:after="0" w:line="238" w:lineRule="auto"/>
        <w:tabs>
          <w:tab w:leader="none" w:pos="1857"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(as defined in the Notes) plus 10 basis points, less (b) interest accrued to the Redemption Date, and</w:t>
      </w:r>
    </w:p>
    <w:p>
      <w:pPr>
        <w:spacing w:after="0" w:line="176" w:lineRule="exact"/>
        <w:rPr>
          <w:rFonts w:ascii="Times New Roman" w:cs="Times New Roman" w:eastAsia="Times New Roman" w:hAnsi="Times New Roman"/>
          <w:sz w:val="22"/>
          <w:szCs w:val="22"/>
          <w:color w:val="auto"/>
        </w:rPr>
      </w:pPr>
    </w:p>
    <w:p>
      <w:pPr>
        <w:ind w:left="1820" w:hanging="315"/>
        <w:spacing w:after="0"/>
        <w:tabs>
          <w:tab w:leader="none" w:pos="1820"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 of the principal amount of the Notes to be redeemed,</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plus, in either case, accrued and unpaid interest thereon to the Redemption Date.</w:t>
      </w:r>
    </w:p>
    <w:p>
      <w:pPr>
        <w:spacing w:after="0" w:line="206" w:lineRule="exact"/>
        <w:rPr>
          <w:sz w:val="20"/>
          <w:szCs w:val="20"/>
          <w:color w:val="auto"/>
        </w:rPr>
      </w:pPr>
    </w:p>
    <w:p>
      <w:pPr>
        <w:jc w:val="both"/>
        <w:ind w:left="860" w:right="219"/>
        <w:spacing w:after="0" w:line="239" w:lineRule="auto"/>
        <w:rPr>
          <w:sz w:val="20"/>
          <w:szCs w:val="20"/>
          <w:color w:val="auto"/>
        </w:rPr>
      </w:pPr>
      <w:r>
        <w:rPr>
          <w:rFonts w:ascii="Times New Roman" w:cs="Times New Roman" w:eastAsia="Times New Roman" w:hAnsi="Times New Roman"/>
          <w:sz w:val="22"/>
          <w:szCs w:val="22"/>
          <w:color w:val="auto"/>
        </w:rPr>
        <w:t>On or after the Par Call Date, the Company may redeem the Notes at its option, in whole or in part, at any time and from time to time, at a Redemption Price equal to 100% of the principal amount of the Notes to be redeemed, plus accrued and unpaid interest thereon to the Redemption Date.</w:t>
      </w:r>
    </w:p>
    <w:p>
      <w:pPr>
        <w:spacing w:after="0" w:line="18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“Par Call Date” means June 3, 2027.</w:t>
      </w:r>
    </w:p>
    <w:p>
      <w:pPr>
        <w:spacing w:after="0" w:line="206" w:lineRule="exact"/>
        <w:rPr>
          <w:sz w:val="20"/>
          <w:szCs w:val="20"/>
          <w:color w:val="auto"/>
        </w:rPr>
      </w:pPr>
    </w:p>
    <w:p>
      <w:pPr>
        <w:jc w:val="both"/>
        <w:ind w:left="860" w:right="239" w:hanging="651"/>
        <w:spacing w:after="0" w:line="244" w:lineRule="auto"/>
        <w:tabs>
          <w:tab w:leader="none" w:pos="86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have no obligation to redeem, purchase or repay the Notes pursuant to any mandatory redemption, sinking fund or analogous provisions or at the option of a Holder thereof.</w:t>
      </w:r>
    </w:p>
    <w:p>
      <w:pPr>
        <w:spacing w:after="0" w:line="173" w:lineRule="exact"/>
        <w:rPr>
          <w:rFonts w:ascii="Times New Roman" w:cs="Times New Roman" w:eastAsia="Times New Roman" w:hAnsi="Times New Roman"/>
          <w:sz w:val="22"/>
          <w:szCs w:val="22"/>
          <w:color w:val="auto"/>
        </w:rPr>
      </w:pPr>
    </w:p>
    <w:p>
      <w:pPr>
        <w:ind w:left="860" w:right="239" w:hanging="651"/>
        <w:spacing w:after="0" w:line="258" w:lineRule="auto"/>
        <w:tabs>
          <w:tab w:leader="none" w:pos="86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Notes will be subject to defeasance and discharge as contemplated by Section 1302 of the Indenture and to covenant defeasance under Section 1303 of the Indenture.</w:t>
      </w:r>
    </w:p>
    <w:p>
      <w:pPr>
        <w:spacing w:after="0" w:line="158" w:lineRule="exact"/>
        <w:rPr>
          <w:rFonts w:ascii="Times New Roman" w:cs="Times New Roman" w:eastAsia="Times New Roman" w:hAnsi="Times New Roman"/>
          <w:sz w:val="22"/>
          <w:szCs w:val="22"/>
          <w:color w:val="auto"/>
        </w:rPr>
      </w:pPr>
    </w:p>
    <w:p>
      <w:pPr>
        <w:ind w:left="860" w:right="219" w:hanging="651"/>
        <w:spacing w:after="0" w:line="258" w:lineRule="auto"/>
        <w:tabs>
          <w:tab w:leader="none" w:pos="86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Notes shall be entitled to the benefit of the covenants contained in Sections 1008 and 1009 of the Indenture.</w:t>
      </w:r>
    </w:p>
    <w:p>
      <w:pPr>
        <w:spacing w:after="0" w:line="158" w:lineRule="exact"/>
        <w:rPr>
          <w:rFonts w:ascii="Times New Roman" w:cs="Times New Roman" w:eastAsia="Times New Roman" w:hAnsi="Times New Roman"/>
          <w:sz w:val="22"/>
          <w:szCs w:val="22"/>
          <w:color w:val="auto"/>
        </w:rPr>
      </w:pPr>
    </w:p>
    <w:p>
      <w:pPr>
        <w:ind w:left="860" w:right="239" w:hanging="651"/>
        <w:spacing w:after="0" w:line="258" w:lineRule="auto"/>
        <w:tabs>
          <w:tab w:leader="none" w:pos="86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Bank of New York Mellon Trust Company, N.A. shall serve initially as Security Registrar for the Notes.</w:t>
      </w:r>
    </w:p>
    <w:p>
      <w:pPr>
        <w:spacing w:after="0" w:line="158"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Notes shall be substantially in the form of Exhibit A hereto.</w:t>
      </w:r>
    </w:p>
    <w:p>
      <w:pPr>
        <w:spacing w:after="0" w:line="206" w:lineRule="exact"/>
        <w:rPr>
          <w:rFonts w:ascii="Times New Roman" w:cs="Times New Roman" w:eastAsia="Times New Roman" w:hAnsi="Times New Roman"/>
          <w:sz w:val="22"/>
          <w:szCs w:val="22"/>
          <w:color w:val="auto"/>
        </w:rPr>
      </w:pPr>
    </w:p>
    <w:p>
      <w:pPr>
        <w:jc w:val="both"/>
        <w:ind w:left="860" w:right="219" w:hanging="651"/>
        <w:spacing w:after="0" w:line="251" w:lineRule="auto"/>
        <w:tabs>
          <w:tab w:leader="none" w:pos="86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Notes will be fully and unconditionally guaranteed on a senior basis by the Company’s wholly owned subsidiary, Waste Management Holdings, Inc., pursuant to the terms and conditions of a Guarantee Agreement dated July 3, 2024 (the “Guarantee”). The amount of the Guarantee will be limited to the extent required under applicable fraudulent conveyance laws to cause the Guarantee to be enforceable. The terms and conditions of the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561340</wp:posOffset>
            </wp:positionV>
            <wp:extent cx="545211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1" w:name="page52"/>
    <w:bookmarkEnd w:id="51"/>
    <w:p>
      <w:pPr>
        <w:ind w:left="860" w:right="239"/>
        <w:spacing w:after="0" w:line="259" w:lineRule="auto"/>
        <w:rPr>
          <w:sz w:val="20"/>
          <w:szCs w:val="20"/>
          <w:color w:val="auto"/>
        </w:rPr>
      </w:pPr>
      <w:r>
        <w:rPr>
          <w:rFonts w:ascii="Times New Roman" w:cs="Times New Roman" w:eastAsia="Times New Roman" w:hAnsi="Times New Roman"/>
          <w:sz w:val="22"/>
          <w:szCs w:val="22"/>
          <w:color w:val="auto"/>
        </w:rPr>
        <w:t>shall continue in full force and effect for the benefit of holders of the Notes until release thereof as set forth in Section 6 of the Guarantee.</w:t>
      </w:r>
    </w:p>
    <w:p>
      <w:pPr>
        <w:spacing w:after="0" w:line="157" w:lineRule="exact"/>
        <w:rPr>
          <w:sz w:val="20"/>
          <w:szCs w:val="20"/>
          <w:color w:val="auto"/>
        </w:rPr>
      </w:pPr>
    </w:p>
    <w:p>
      <w:pPr>
        <w:jc w:val="both"/>
        <w:ind w:left="860" w:right="219" w:hanging="651"/>
        <w:spacing w:after="0" w:line="244" w:lineRule="auto"/>
        <w:tabs>
          <w:tab w:leader="none" w:pos="86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Notes shall be subject to the satisfaction and discharge provisions set forth in Section 401 of the Indenture, as such provisions are supplemented or modified by the terms and conditions set forth in the Notes in accordance with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1438910</wp:posOffset>
            </wp:positionV>
            <wp:extent cx="545211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Form of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594995</wp:posOffset>
            </wp:positionV>
            <wp:extent cx="545211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3" w:name="page54"/>
    <w:bookmarkEnd w:id="53"/>
    <w:p>
      <w:pPr>
        <w:jc w:val="center"/>
        <w:ind w:right="19"/>
        <w:spacing w:after="0"/>
        <w:rPr>
          <w:sz w:val="20"/>
          <w:szCs w:val="20"/>
          <w:color w:val="auto"/>
        </w:rPr>
      </w:pPr>
      <w:r>
        <w:rPr>
          <w:rFonts w:ascii="Times New Roman" w:cs="Times New Roman" w:eastAsia="Times New Roman" w:hAnsi="Times New Roman"/>
          <w:sz w:val="22"/>
          <w:szCs w:val="22"/>
          <w:color w:val="auto"/>
        </w:rPr>
        <w:t>BOOK-ENTRY SECURITY</w:t>
      </w:r>
    </w:p>
    <w:p>
      <w:pPr>
        <w:spacing w:after="0" w:line="207" w:lineRule="exact"/>
        <w:rPr>
          <w:sz w:val="20"/>
          <w:szCs w:val="20"/>
          <w:color w:val="auto"/>
        </w:rPr>
      </w:pPr>
    </w:p>
    <w:p>
      <w:pPr>
        <w:jc w:val="both"/>
        <w:ind w:left="200" w:right="219" w:firstLine="667"/>
        <w:spacing w:after="0" w:line="234" w:lineRule="auto"/>
        <w:rPr>
          <w:sz w:val="20"/>
          <w:szCs w:val="20"/>
          <w:color w:val="auto"/>
        </w:rPr>
      </w:pPr>
      <w:r>
        <w:rPr>
          <w:rFonts w:ascii="Times New Roman" w:cs="Times New Roman" w:eastAsia="Times New Roman" w:hAnsi="Times New Roman"/>
          <w:sz w:val="22"/>
          <w:szCs w:val="22"/>
          <w:color w:val="auto"/>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spacing w:after="0" w:line="179" w:lineRule="exact"/>
        <w:rPr>
          <w:sz w:val="20"/>
          <w:szCs w:val="20"/>
          <w:color w:val="auto"/>
        </w:rPr>
      </w:pPr>
    </w:p>
    <w:p>
      <w:pPr>
        <w:jc w:val="both"/>
        <w:ind w:left="200" w:right="219" w:firstLine="667"/>
        <w:spacing w:after="0" w:line="233" w:lineRule="auto"/>
        <w:rPr>
          <w:sz w:val="20"/>
          <w:szCs w:val="20"/>
          <w:color w:val="auto"/>
        </w:rPr>
      </w:pPr>
      <w:r>
        <w:rPr>
          <w:rFonts w:ascii="Times New Roman" w:cs="Times New Roman" w:eastAsia="Times New Roman" w:hAnsi="Times New Roman"/>
          <w:sz w:val="22"/>
          <w:szCs w:val="22"/>
          <w:color w:val="auto"/>
        </w:rPr>
        <w:t>UNLESS THIS CERTIFICATE IS PRESENTED BY AN AUTHORIZED REPRESENTATIVE OF THE DEPOSITORY TRUST COMPANY, A NEW YORK CORPORATION (“DTC”), TO THE COMPANY (AS DEFINED BELOW) OR ITS AGENT FOR REGISTRATION FOR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7" w:lineRule="exact"/>
        <w:rPr>
          <w:sz w:val="20"/>
          <w:szCs w:val="20"/>
          <w:color w:val="auto"/>
        </w:rPr>
      </w:pPr>
    </w:p>
    <w:tbl>
      <w:tblPr>
        <w:tblLayout w:type="fixed"/>
        <w:tblInd w:w="300" w:type="dxa"/>
        <w:tblCellMar>
          <w:top w:w="0" w:type="dxa"/>
          <w:left w:w="0" w:type="dxa"/>
          <w:bottom w:w="0" w:type="dxa"/>
          <w:right w:w="0" w:type="dxa"/>
        </w:tblCellMar>
      </w:tblPr>
      <w:tr>
        <w:trPr>
          <w:trHeight w:val="282"/>
        </w:trPr>
        <w:tc>
          <w:tcPr>
            <w:tcW w:w="5800" w:type="dxa"/>
            <w:vAlign w:val="bottom"/>
          </w:tcPr>
          <w:p>
            <w:pPr>
              <w:spacing w:after="0"/>
              <w:rPr>
                <w:sz w:val="20"/>
                <w:szCs w:val="20"/>
                <w:color w:val="auto"/>
              </w:rPr>
            </w:pPr>
            <w:r>
              <w:rPr>
                <w:rFonts w:ascii="Times New Roman" w:cs="Times New Roman" w:eastAsia="Times New Roman" w:hAnsi="Times New Roman"/>
                <w:sz w:val="22"/>
                <w:szCs w:val="22"/>
                <w:color w:val="auto"/>
              </w:rPr>
              <w:t>RGN</w:t>
            </w: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Principal Amount</w:t>
            </w:r>
          </w:p>
        </w:tc>
        <w:tc>
          <w:tcPr>
            <w:tcW w:w="0" w:type="dxa"/>
            <w:vAlign w:val="bottom"/>
          </w:tcPr>
          <w:p>
            <w:pPr>
              <w:spacing w:after="0"/>
              <w:rPr>
                <w:sz w:val="1"/>
                <w:szCs w:val="1"/>
                <w:color w:val="auto"/>
              </w:rPr>
            </w:pPr>
          </w:p>
        </w:tc>
      </w:tr>
      <w:tr>
        <w:trPr>
          <w:trHeight w:val="420"/>
        </w:trPr>
        <w:tc>
          <w:tcPr>
            <w:tcW w:w="5800" w:type="dxa"/>
            <w:vAlign w:val="bottom"/>
          </w:tcPr>
          <w:p>
            <w:pPr>
              <w:spacing w:after="0"/>
              <w:rPr>
                <w:sz w:val="24"/>
                <w:szCs w:val="24"/>
                <w:color w:val="auto"/>
              </w:rPr>
            </w:pPr>
          </w:p>
        </w:tc>
        <w:tc>
          <w:tcPr>
            <w:tcW w:w="198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U.S. $</w:t>
            </w: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43"/>
        </w:trPr>
        <w:tc>
          <w:tcPr>
            <w:tcW w:w="5800" w:type="dxa"/>
            <w:vAlign w:val="bottom"/>
          </w:tcPr>
          <w:p>
            <w:pPr>
              <w:spacing w:after="0"/>
              <w:rPr>
                <w:sz w:val="21"/>
                <w:szCs w:val="21"/>
                <w:color w:val="auto"/>
              </w:rPr>
            </w:pPr>
          </w:p>
        </w:tc>
        <w:tc>
          <w:tcPr>
            <w:tcW w:w="260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which may be decreased</w:t>
            </w:r>
          </w:p>
        </w:tc>
        <w:tc>
          <w:tcPr>
            <w:tcW w:w="0" w:type="dxa"/>
            <w:vAlign w:val="bottom"/>
          </w:tcPr>
          <w:p>
            <w:pPr>
              <w:spacing w:after="0"/>
              <w:rPr>
                <w:sz w:val="1"/>
                <w:szCs w:val="1"/>
                <w:color w:val="auto"/>
              </w:rPr>
            </w:pPr>
          </w:p>
        </w:tc>
      </w:tr>
      <w:tr>
        <w:trPr>
          <w:trHeight w:val="243"/>
        </w:trPr>
        <w:tc>
          <w:tcPr>
            <w:tcW w:w="5800" w:type="dxa"/>
            <w:vAlign w:val="bottom"/>
          </w:tcPr>
          <w:p>
            <w:pPr>
              <w:spacing w:after="0"/>
              <w:rPr>
                <w:sz w:val="21"/>
                <w:szCs w:val="21"/>
                <w:color w:val="auto"/>
              </w:rPr>
            </w:pPr>
          </w:p>
        </w:tc>
        <w:tc>
          <w:tcPr>
            <w:tcW w:w="260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by the Schedule of</w:t>
            </w:r>
          </w:p>
        </w:tc>
        <w:tc>
          <w:tcPr>
            <w:tcW w:w="0" w:type="dxa"/>
            <w:vAlign w:val="bottom"/>
          </w:tcPr>
          <w:p>
            <w:pPr>
              <w:spacing w:after="0"/>
              <w:rPr>
                <w:sz w:val="1"/>
                <w:szCs w:val="1"/>
                <w:color w:val="auto"/>
              </w:rPr>
            </w:pPr>
          </w:p>
        </w:tc>
      </w:tr>
      <w:tr>
        <w:trPr>
          <w:trHeight w:val="243"/>
        </w:trPr>
        <w:tc>
          <w:tcPr>
            <w:tcW w:w="5800" w:type="dxa"/>
            <w:vAlign w:val="bottom"/>
            <w:vMerge w:val="restart"/>
          </w:tcPr>
          <w:p>
            <w:pPr>
              <w:ind w:left="2520"/>
              <w:spacing w:after="0"/>
              <w:rPr>
                <w:sz w:val="20"/>
                <w:szCs w:val="20"/>
                <w:color w:val="auto"/>
              </w:rPr>
            </w:pPr>
            <w:r>
              <w:rPr>
                <w:rFonts w:ascii="Times New Roman" w:cs="Times New Roman" w:eastAsia="Times New Roman" w:hAnsi="Times New Roman"/>
                <w:sz w:val="22"/>
                <w:szCs w:val="22"/>
                <w:color w:val="auto"/>
              </w:rPr>
              <w:t>WASTE MANAGEMENT, INC.</w:t>
            </w:r>
          </w:p>
        </w:tc>
        <w:tc>
          <w:tcPr>
            <w:tcW w:w="260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Exchanges of Definitive</w:t>
            </w:r>
          </w:p>
        </w:tc>
        <w:tc>
          <w:tcPr>
            <w:tcW w:w="0" w:type="dxa"/>
            <w:vAlign w:val="bottom"/>
          </w:tcPr>
          <w:p>
            <w:pPr>
              <w:spacing w:after="0"/>
              <w:rPr>
                <w:sz w:val="1"/>
                <w:szCs w:val="1"/>
                <w:color w:val="auto"/>
              </w:rPr>
            </w:pPr>
          </w:p>
        </w:tc>
      </w:tr>
      <w:tr>
        <w:trPr>
          <w:trHeight w:val="282"/>
        </w:trPr>
        <w:tc>
          <w:tcPr>
            <w:tcW w:w="5800" w:type="dxa"/>
            <w:vAlign w:val="bottom"/>
            <w:vMerge w:val="continue"/>
          </w:tcPr>
          <w:p>
            <w:pPr>
              <w:spacing w:after="0"/>
              <w:rPr>
                <w:sz w:val="24"/>
                <w:szCs w:val="24"/>
                <w:color w:val="auto"/>
              </w:rPr>
            </w:pP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Security attached hereto</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4.950% SENIOR NOTES DUE 2027</w:t>
      </w:r>
    </w:p>
    <w:p>
      <w:pPr>
        <w:spacing w:after="0" w:line="206"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22"/>
          <w:szCs w:val="22"/>
          <w:color w:val="auto"/>
        </w:rPr>
        <w:t>CUSIP 94106L BX6</w:t>
      </w:r>
    </w:p>
    <w:p>
      <w:pPr>
        <w:spacing w:after="0" w:line="206" w:lineRule="exact"/>
        <w:rPr>
          <w:sz w:val="20"/>
          <w:szCs w:val="20"/>
          <w:color w:val="auto"/>
        </w:rPr>
      </w:pPr>
    </w:p>
    <w:p>
      <w:pPr>
        <w:jc w:val="both"/>
        <w:ind w:left="200" w:right="219" w:firstLine="667"/>
        <w:spacing w:after="0" w:line="249" w:lineRule="auto"/>
        <w:rPr>
          <w:sz w:val="20"/>
          <w:szCs w:val="20"/>
          <w:color w:val="auto"/>
        </w:rPr>
      </w:pPr>
      <w:r>
        <w:rPr>
          <w:rFonts w:ascii="Times New Roman" w:cs="Times New Roman" w:eastAsia="Times New Roman" w:hAnsi="Times New Roman"/>
          <w:sz w:val="21"/>
          <w:szCs w:val="21"/>
          <w:color w:val="auto"/>
        </w:rPr>
        <w:t>WASTE MANAGEMENT, INC., a Delaware corporation (the “Company,” which term includes any successors under the Indenture hereinafter referred to), for value received, hereby promises to pay to CEDE &amp; CO. or registered assigns, at the office or agency of the Company, the</w:t>
      </w:r>
    </w:p>
    <w:p>
      <w:pPr>
        <w:spacing w:after="0" w:line="1" w:lineRule="exact"/>
        <w:rPr>
          <w:sz w:val="20"/>
          <w:szCs w:val="20"/>
          <w:color w:val="auto"/>
        </w:rPr>
      </w:pPr>
    </w:p>
    <w:p>
      <w:pPr>
        <w:jc w:val="both"/>
        <w:ind w:left="200" w:right="219"/>
        <w:spacing w:after="0" w:line="232" w:lineRule="auto"/>
        <w:rPr>
          <w:sz w:val="20"/>
          <w:szCs w:val="20"/>
          <w:color w:val="auto"/>
        </w:rPr>
      </w:pPr>
      <w:r>
        <w:rPr>
          <w:rFonts w:ascii="Times New Roman" w:cs="Times New Roman" w:eastAsia="Times New Roman" w:hAnsi="Times New Roman"/>
          <w:sz w:val="22"/>
          <w:szCs w:val="22"/>
          <w:color w:val="auto"/>
        </w:rPr>
        <w:t>principal sum of Million ($ ) U.S. dollars, or such lesser principal sum as is shown on the attached Schedule of Exchanges of Definitive Security, on July 3, 2027 in such coin or currency of the United States of America as at the time of payment shall be legal tender for the payment of public and private debts, and to pay interest at an annual rate of 4.950% payable on January 3 and July 3 of each year, to the person in whose name this Security is registered at the close of business on the record date for such interest, which shall be the preceding December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493395</wp:posOffset>
            </wp:positionV>
            <wp:extent cx="545211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4" w:name="page55"/>
    <w:bookmarkEnd w:id="54"/>
    <w:p>
      <w:pPr>
        <w:jc w:val="both"/>
        <w:ind w:left="200" w:right="239"/>
        <w:spacing w:after="0" w:line="259" w:lineRule="auto"/>
        <w:rPr>
          <w:sz w:val="20"/>
          <w:szCs w:val="20"/>
          <w:color w:val="auto"/>
        </w:rPr>
      </w:pPr>
      <w:r>
        <w:rPr>
          <w:rFonts w:ascii="Times New Roman" w:cs="Times New Roman" w:eastAsia="Times New Roman" w:hAnsi="Times New Roman"/>
          <w:sz w:val="22"/>
          <w:szCs w:val="22"/>
          <w:color w:val="auto"/>
        </w:rPr>
        <w:t>or June 15, respectively, payable commencing January 3, 2025, with interest accruing from July 3, 2024, or the most recent date to which interest has been paid.</w:t>
      </w:r>
    </w:p>
    <w:p>
      <w:pPr>
        <w:spacing w:after="0" w:line="157" w:lineRule="exact"/>
        <w:rPr>
          <w:sz w:val="20"/>
          <w:szCs w:val="20"/>
          <w:color w:val="auto"/>
        </w:rPr>
      </w:pPr>
    </w:p>
    <w:p>
      <w:pPr>
        <w:jc w:val="both"/>
        <w:ind w:left="200" w:right="219" w:firstLine="667"/>
        <w:spacing w:after="0" w:line="244" w:lineRule="auto"/>
        <w:rPr>
          <w:sz w:val="20"/>
          <w:szCs w:val="20"/>
          <w:color w:val="auto"/>
        </w:rPr>
      </w:pPr>
      <w:r>
        <w:rPr>
          <w:rFonts w:ascii="Times New Roman" w:cs="Times New Roman" w:eastAsia="Times New Roman" w:hAnsi="Times New Roman"/>
          <w:sz w:val="22"/>
          <w:szCs w:val="22"/>
          <w:color w:val="auto"/>
        </w:rPr>
        <w:t>Reference is made to the further provisions of this Security set forth on the reverse hereof. Such further provisions shall for all purposes have the same effect as though fully set forth at this place.</w:t>
      </w:r>
    </w:p>
    <w:p>
      <w:pPr>
        <w:spacing w:after="0" w:line="173" w:lineRule="exact"/>
        <w:rPr>
          <w:sz w:val="20"/>
          <w:szCs w:val="20"/>
          <w:color w:val="auto"/>
        </w:rPr>
      </w:pPr>
    </w:p>
    <w:p>
      <w:pPr>
        <w:jc w:val="both"/>
        <w:ind w:left="200" w:right="219" w:firstLine="667"/>
        <w:spacing w:after="0" w:line="244" w:lineRule="auto"/>
        <w:rPr>
          <w:sz w:val="20"/>
          <w:szCs w:val="20"/>
          <w:color w:val="auto"/>
        </w:rPr>
      </w:pPr>
      <w:r>
        <w:rPr>
          <w:rFonts w:ascii="Times New Roman" w:cs="Times New Roman" w:eastAsia="Times New Roman" w:hAnsi="Times New Roman"/>
          <w:sz w:val="22"/>
          <w:szCs w:val="22"/>
          <w:color w:val="auto"/>
        </w:rPr>
        <w:t>The statements in the legends set forth above are an integral part of the terms of this Security and by acceptance hereof the Holder of this Security agrees to be subject to, and bound by, the terms and provisions set forth in each such legend.</w:t>
      </w:r>
    </w:p>
    <w:p>
      <w:pPr>
        <w:spacing w:after="0" w:line="173" w:lineRule="exact"/>
        <w:rPr>
          <w:sz w:val="20"/>
          <w:szCs w:val="20"/>
          <w:color w:val="auto"/>
        </w:rPr>
      </w:pPr>
    </w:p>
    <w:p>
      <w:pPr>
        <w:jc w:val="both"/>
        <w:ind w:left="200" w:right="219" w:firstLine="667"/>
        <w:spacing w:after="0" w:line="234" w:lineRule="auto"/>
        <w:rPr>
          <w:sz w:val="20"/>
          <w:szCs w:val="20"/>
          <w:color w:val="auto"/>
        </w:rPr>
      </w:pPr>
      <w:r>
        <w:rPr>
          <w:rFonts w:ascii="Times New Roman" w:cs="Times New Roman" w:eastAsia="Times New Roman" w:hAnsi="Times New Roman"/>
          <w:sz w:val="22"/>
          <w:szCs w:val="22"/>
          <w:color w:val="auto"/>
        </w:rPr>
        <w:t>This Security is issued in respect of a series of Securities of an initial aggregate of U.S. $750,000,000 in principal amount designated as the 4.950% Senior Notes due 2027 of the Company and is governed by the Indenture dated as of September 10, 1997, duly executed and delivered by the Company, formerly known as USA Waste Services, Inc., to The Bank of New York Mellon Trust Company, N.A. (the current successor to Texas Commerce Bank National Association) as trustee (the “Trustee”), as supplemented by Board Resolutions (as defined in the Indenture) (such Indenture and Board Resolutions, collectively, the “Indenture”). The terms of the Indenture are incorporated herein by reference. This Security shall in all respects be entitled to the same benefits as definitive Securities under the Indenture.</w:t>
      </w:r>
    </w:p>
    <w:p>
      <w:pPr>
        <w:spacing w:after="0" w:line="183" w:lineRule="exact"/>
        <w:rPr>
          <w:sz w:val="20"/>
          <w:szCs w:val="20"/>
          <w:color w:val="auto"/>
        </w:rPr>
      </w:pPr>
    </w:p>
    <w:p>
      <w:pPr>
        <w:jc w:val="both"/>
        <w:ind w:left="200" w:right="219" w:firstLine="667"/>
        <w:spacing w:after="0" w:line="239" w:lineRule="auto"/>
        <w:rPr>
          <w:sz w:val="20"/>
          <w:szCs w:val="20"/>
          <w:color w:val="auto"/>
        </w:rPr>
      </w:pPr>
      <w:r>
        <w:rPr>
          <w:rFonts w:ascii="Times New Roman" w:cs="Times New Roman" w:eastAsia="Times New Roman" w:hAnsi="Times New Roman"/>
          <w:sz w:val="22"/>
          <w:szCs w:val="22"/>
          <w:color w:val="auto"/>
        </w:rPr>
        <w:t>If and to the extent that any provision of the Indenture limits, qualifies or conflicts with any other provision of the Indenture that is required to be included in the Indenture or is deemed applicable to the Indenture by virtue of the provisions of the Trust Indenture Act of 1939, as amended, such required provision shall control.</w:t>
      </w:r>
    </w:p>
    <w:p>
      <w:pPr>
        <w:spacing w:after="0" w:line="180" w:lineRule="exact"/>
        <w:rPr>
          <w:sz w:val="20"/>
          <w:szCs w:val="20"/>
          <w:color w:val="auto"/>
        </w:rPr>
      </w:pPr>
    </w:p>
    <w:p>
      <w:pPr>
        <w:jc w:val="both"/>
        <w:ind w:left="200" w:right="239" w:firstLine="667"/>
        <w:spacing w:after="0" w:line="258" w:lineRule="auto"/>
        <w:rPr>
          <w:sz w:val="20"/>
          <w:szCs w:val="20"/>
          <w:color w:val="auto"/>
        </w:rPr>
      </w:pPr>
      <w:r>
        <w:rPr>
          <w:rFonts w:ascii="Times New Roman" w:cs="Times New Roman" w:eastAsia="Times New Roman" w:hAnsi="Times New Roman"/>
          <w:sz w:val="22"/>
          <w:szCs w:val="22"/>
          <w:color w:val="auto"/>
        </w:rPr>
        <w:t>The Company hereby irrevocably undertakes to the Holder hereof to exchange this Security in accordance with the terms of the Indenture without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615315</wp:posOffset>
            </wp:positionV>
            <wp:extent cx="545211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5" w:name="page56"/>
    <w:bookmarkEnd w:id="55"/>
    <w:p>
      <w:pPr>
        <w:ind w:left="200" w:right="239" w:firstLine="667"/>
        <w:spacing w:after="0" w:line="259" w:lineRule="auto"/>
        <w:rPr>
          <w:sz w:val="20"/>
          <w:szCs w:val="20"/>
          <w:color w:val="auto"/>
        </w:rPr>
      </w:pPr>
      <w:r>
        <w:rPr>
          <w:rFonts w:ascii="Times New Roman" w:cs="Times New Roman" w:eastAsia="Times New Roman" w:hAnsi="Times New Roman"/>
          <w:sz w:val="22"/>
          <w:szCs w:val="22"/>
          <w:color w:val="auto"/>
        </w:rPr>
        <w:t>This Security shall not be valid or become obligatory for any purpose until the Certificate of Authentication hereon shall have been manually signed by the Trustee under the Indenture.</w:t>
      </w:r>
    </w:p>
    <w:p>
      <w:pPr>
        <w:spacing w:after="0" w:line="157" w:lineRule="exact"/>
        <w:rPr>
          <w:sz w:val="20"/>
          <w:szCs w:val="20"/>
          <w:color w:val="auto"/>
        </w:rPr>
      </w:pPr>
    </w:p>
    <w:p>
      <w:pPr>
        <w:ind w:left="200" w:right="219" w:firstLine="667"/>
        <w:spacing w:after="0" w:line="258" w:lineRule="auto"/>
        <w:rPr>
          <w:sz w:val="20"/>
          <w:szCs w:val="20"/>
          <w:color w:val="auto"/>
        </w:rPr>
      </w:pPr>
      <w:r>
        <w:rPr>
          <w:rFonts w:ascii="Times New Roman" w:cs="Times New Roman" w:eastAsia="Times New Roman" w:hAnsi="Times New Roman"/>
          <w:sz w:val="22"/>
          <w:szCs w:val="22"/>
          <w:color w:val="auto"/>
        </w:rPr>
        <w:t>IN WITNESS WHEREOF, the Company has caused this instrument to be duly executed under its corporate seal.</w:t>
      </w:r>
    </w:p>
    <w:p>
      <w:pPr>
        <w:spacing w:after="0" w:line="148" w:lineRule="exact"/>
        <w:rPr>
          <w:sz w:val="20"/>
          <w:szCs w:val="20"/>
          <w:color w:val="auto"/>
        </w:rPr>
      </w:pPr>
    </w:p>
    <w:tbl>
      <w:tblPr>
        <w:tblLayout w:type="fixed"/>
        <w:tblInd w:w="300" w:type="dxa"/>
        <w:tblCellMar>
          <w:top w:w="0" w:type="dxa"/>
          <w:left w:w="0" w:type="dxa"/>
          <w:bottom w:w="0" w:type="dxa"/>
          <w:right w:w="0" w:type="dxa"/>
        </w:tblCellMar>
      </w:tblPr>
      <w:tr>
        <w:trPr>
          <w:trHeight w:val="253"/>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rPr>
              <w:t>Dated:</w:t>
            </w:r>
          </w:p>
        </w:tc>
        <w:tc>
          <w:tcPr>
            <w:tcW w:w="5800" w:type="dxa"/>
            <w:vAlign w:val="bottom"/>
            <w:gridSpan w:val="5"/>
          </w:tcPr>
          <w:p>
            <w:pPr>
              <w:ind w:left="1820"/>
              <w:spacing w:after="0"/>
              <w:rPr>
                <w:sz w:val="20"/>
                <w:szCs w:val="20"/>
                <w:color w:val="auto"/>
              </w:rPr>
            </w:pPr>
            <w:r>
              <w:rPr>
                <w:rFonts w:ascii="Times New Roman" w:cs="Times New Roman" w:eastAsia="Times New Roman" w:hAnsi="Times New Roman"/>
                <w:sz w:val="22"/>
                <w:szCs w:val="22"/>
                <w:color w:val="auto"/>
              </w:rPr>
              <w:t>WASTE MANAGEMENT, INC.,</w:t>
            </w:r>
          </w:p>
        </w:tc>
      </w:tr>
      <w:tr>
        <w:trPr>
          <w:trHeight w:val="282"/>
        </w:trPr>
        <w:tc>
          <w:tcPr>
            <w:tcW w:w="2420" w:type="dxa"/>
            <w:vAlign w:val="bottom"/>
          </w:tcPr>
          <w:p>
            <w:pPr>
              <w:spacing w:after="0"/>
              <w:rPr>
                <w:sz w:val="24"/>
                <w:szCs w:val="24"/>
                <w:color w:val="auto"/>
              </w:rPr>
            </w:pPr>
          </w:p>
        </w:tc>
        <w:tc>
          <w:tcPr>
            <w:tcW w:w="5800" w:type="dxa"/>
            <w:vAlign w:val="bottom"/>
            <w:gridSpan w:val="5"/>
          </w:tcPr>
          <w:p>
            <w:pPr>
              <w:ind w:left="1820"/>
              <w:spacing w:after="0"/>
              <w:rPr>
                <w:sz w:val="20"/>
                <w:szCs w:val="20"/>
                <w:color w:val="auto"/>
              </w:rPr>
            </w:pPr>
            <w:r>
              <w:rPr>
                <w:rFonts w:ascii="Times New Roman" w:cs="Times New Roman" w:eastAsia="Times New Roman" w:hAnsi="Times New Roman"/>
                <w:sz w:val="22"/>
                <w:szCs w:val="22"/>
                <w:color w:val="auto"/>
              </w:rPr>
              <w:t>a Delaware corporation</w:t>
            </w:r>
          </w:p>
        </w:tc>
      </w:tr>
      <w:tr>
        <w:trPr>
          <w:trHeight w:val="433"/>
        </w:trPr>
        <w:tc>
          <w:tcPr>
            <w:tcW w:w="2420" w:type="dxa"/>
            <w:vAlign w:val="bottom"/>
          </w:tcPr>
          <w:p>
            <w:pPr>
              <w:spacing w:after="0"/>
              <w:rPr>
                <w:sz w:val="24"/>
                <w:szCs w:val="24"/>
                <w:color w:val="auto"/>
              </w:rPr>
            </w:pPr>
          </w:p>
        </w:tc>
        <w:tc>
          <w:tcPr>
            <w:tcW w:w="5800" w:type="dxa"/>
            <w:vAlign w:val="bottom"/>
            <w:gridSpan w:val="5"/>
          </w:tcPr>
          <w:p>
            <w:pPr>
              <w:ind w:left="1820"/>
              <w:spacing w:after="0"/>
              <w:rPr>
                <w:sz w:val="20"/>
                <w:szCs w:val="20"/>
                <w:color w:val="auto"/>
              </w:rPr>
            </w:pPr>
            <w:r>
              <w:rPr>
                <w:rFonts w:ascii="Times New Roman" w:cs="Times New Roman" w:eastAsia="Times New Roman" w:hAnsi="Times New Roman"/>
                <w:sz w:val="22"/>
                <w:szCs w:val="22"/>
                <w:color w:val="auto"/>
              </w:rPr>
              <w:t>By:</w:t>
            </w:r>
          </w:p>
        </w:tc>
      </w:tr>
      <w:tr>
        <w:trPr>
          <w:trHeight w:val="236"/>
        </w:trPr>
        <w:tc>
          <w:tcPr>
            <w:tcW w:w="24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480" w:type="dxa"/>
            <w:vAlign w:val="bottom"/>
            <w:tcBorders>
              <w:top w:val="single" w:sz="8" w:color="auto"/>
            </w:tcBorders>
            <w:gridSpan w:val="3"/>
          </w:tcPr>
          <w:p>
            <w:pPr>
              <w:spacing w:after="0" w:line="236" w:lineRule="exact"/>
              <w:rPr>
                <w:sz w:val="20"/>
                <w:szCs w:val="20"/>
                <w:color w:val="auto"/>
              </w:rPr>
            </w:pPr>
            <w:r>
              <w:rPr>
                <w:rFonts w:ascii="Times New Roman" w:cs="Times New Roman" w:eastAsia="Times New Roman" w:hAnsi="Times New Roman"/>
                <w:sz w:val="22"/>
                <w:szCs w:val="22"/>
                <w:color w:val="auto"/>
              </w:rPr>
              <w:t>Leslie K. Nagy</w:t>
            </w:r>
          </w:p>
        </w:tc>
        <w:tc>
          <w:tcPr>
            <w:tcW w:w="940" w:type="dxa"/>
            <w:vAlign w:val="bottom"/>
          </w:tcPr>
          <w:p>
            <w:pPr>
              <w:spacing w:after="0"/>
              <w:rPr>
                <w:sz w:val="20"/>
                <w:szCs w:val="20"/>
                <w:color w:val="auto"/>
              </w:rPr>
            </w:pPr>
          </w:p>
        </w:tc>
      </w:tr>
      <w:tr>
        <w:trPr>
          <w:trHeight w:val="282"/>
        </w:trPr>
        <w:tc>
          <w:tcPr>
            <w:tcW w:w="2420" w:type="dxa"/>
            <w:vAlign w:val="bottom"/>
          </w:tcPr>
          <w:p>
            <w:pPr>
              <w:spacing w:after="0"/>
              <w:rPr>
                <w:sz w:val="24"/>
                <w:szCs w:val="24"/>
                <w:color w:val="auto"/>
              </w:rPr>
            </w:pPr>
          </w:p>
        </w:tc>
        <w:tc>
          <w:tcPr>
            <w:tcW w:w="5800" w:type="dxa"/>
            <w:vAlign w:val="bottom"/>
            <w:gridSpan w:val="5"/>
          </w:tcPr>
          <w:p>
            <w:pPr>
              <w:ind w:left="2380"/>
              <w:spacing w:after="0"/>
              <w:rPr>
                <w:sz w:val="20"/>
                <w:szCs w:val="20"/>
                <w:color w:val="auto"/>
              </w:rPr>
            </w:pPr>
            <w:r>
              <w:rPr>
                <w:rFonts w:ascii="Times New Roman" w:cs="Times New Roman" w:eastAsia="Times New Roman" w:hAnsi="Times New Roman"/>
                <w:sz w:val="22"/>
                <w:szCs w:val="22"/>
                <w:color w:val="auto"/>
              </w:rPr>
              <w:t>Vice President and Treasurer</w:t>
            </w:r>
          </w:p>
        </w:tc>
      </w:tr>
      <w:tr>
        <w:trPr>
          <w:trHeight w:val="729"/>
        </w:trPr>
        <w:tc>
          <w:tcPr>
            <w:tcW w:w="2420" w:type="dxa"/>
            <w:vAlign w:val="bottom"/>
          </w:tcPr>
          <w:p>
            <w:pPr>
              <w:spacing w:after="0"/>
              <w:rPr>
                <w:sz w:val="24"/>
                <w:szCs w:val="24"/>
                <w:color w:val="auto"/>
              </w:rPr>
            </w:pPr>
          </w:p>
        </w:tc>
        <w:tc>
          <w:tcPr>
            <w:tcW w:w="5800" w:type="dxa"/>
            <w:vAlign w:val="bottom"/>
            <w:gridSpan w:val="5"/>
          </w:tcPr>
          <w:p>
            <w:pPr>
              <w:ind w:left="1820"/>
              <w:spacing w:after="0"/>
              <w:rPr>
                <w:sz w:val="20"/>
                <w:szCs w:val="20"/>
                <w:color w:val="auto"/>
              </w:rPr>
            </w:pPr>
            <w:r>
              <w:rPr>
                <w:rFonts w:ascii="Times New Roman" w:cs="Times New Roman" w:eastAsia="Times New Roman" w:hAnsi="Times New Roman"/>
                <w:sz w:val="22"/>
                <w:szCs w:val="22"/>
                <w:color w:val="auto"/>
              </w:rPr>
              <w:t>Attest:</w:t>
            </w:r>
          </w:p>
        </w:tc>
      </w:tr>
      <w:tr>
        <w:trPr>
          <w:trHeight w:val="433"/>
        </w:trPr>
        <w:tc>
          <w:tcPr>
            <w:tcW w:w="2420" w:type="dxa"/>
            <w:vAlign w:val="bottom"/>
          </w:tcPr>
          <w:p>
            <w:pPr>
              <w:spacing w:after="0"/>
              <w:rPr>
                <w:sz w:val="24"/>
                <w:szCs w:val="24"/>
                <w:color w:val="auto"/>
              </w:rPr>
            </w:pPr>
          </w:p>
        </w:tc>
        <w:tc>
          <w:tcPr>
            <w:tcW w:w="5800" w:type="dxa"/>
            <w:vAlign w:val="bottom"/>
            <w:gridSpan w:val="5"/>
          </w:tcPr>
          <w:p>
            <w:pPr>
              <w:ind w:left="1820"/>
              <w:spacing w:after="0"/>
              <w:rPr>
                <w:sz w:val="20"/>
                <w:szCs w:val="20"/>
                <w:color w:val="auto"/>
              </w:rPr>
            </w:pPr>
            <w:r>
              <w:rPr>
                <w:rFonts w:ascii="Times New Roman" w:cs="Times New Roman" w:eastAsia="Times New Roman" w:hAnsi="Times New Roman"/>
                <w:sz w:val="22"/>
                <w:szCs w:val="22"/>
                <w:color w:val="auto"/>
              </w:rPr>
              <w:t>By:</w:t>
            </w:r>
          </w:p>
        </w:tc>
      </w:tr>
      <w:tr>
        <w:trPr>
          <w:trHeight w:val="236"/>
        </w:trPr>
        <w:tc>
          <w:tcPr>
            <w:tcW w:w="2420" w:type="dxa"/>
            <w:vAlign w:val="bottom"/>
          </w:tcPr>
          <w:p>
            <w:pPr>
              <w:spacing w:after="0"/>
              <w:rPr>
                <w:sz w:val="20"/>
                <w:szCs w:val="20"/>
                <w:color w:val="auto"/>
              </w:rPr>
            </w:pPr>
          </w:p>
        </w:tc>
        <w:tc>
          <w:tcPr>
            <w:tcW w:w="2400" w:type="dxa"/>
            <w:vAlign w:val="bottom"/>
            <w:gridSpan w:val="2"/>
          </w:tcPr>
          <w:p>
            <w:pPr>
              <w:spacing w:after="0"/>
              <w:rPr>
                <w:sz w:val="20"/>
                <w:szCs w:val="20"/>
                <w:color w:val="auto"/>
              </w:rPr>
            </w:pPr>
          </w:p>
        </w:tc>
        <w:tc>
          <w:tcPr>
            <w:tcW w:w="2440" w:type="dxa"/>
            <w:vAlign w:val="bottom"/>
            <w:tcBorders>
              <w:top w:val="single" w:sz="8" w:color="auto"/>
            </w:tcBorders>
          </w:tcPr>
          <w:p>
            <w:pPr>
              <w:spacing w:after="0" w:line="236" w:lineRule="exact"/>
              <w:rPr>
                <w:sz w:val="20"/>
                <w:szCs w:val="20"/>
                <w:color w:val="auto"/>
              </w:rPr>
            </w:pPr>
            <w:r>
              <w:rPr>
                <w:rFonts w:ascii="Times New Roman" w:cs="Times New Roman" w:eastAsia="Times New Roman" w:hAnsi="Times New Roman"/>
                <w:sz w:val="22"/>
                <w:szCs w:val="22"/>
                <w:color w:val="auto"/>
              </w:rPr>
              <w:t>Courtney A. Tippy</w:t>
            </w:r>
          </w:p>
        </w:tc>
        <w:tc>
          <w:tcPr>
            <w:tcW w:w="960" w:type="dxa"/>
            <w:vAlign w:val="bottom"/>
            <w:gridSpan w:val="2"/>
          </w:tcPr>
          <w:p>
            <w:pPr>
              <w:spacing w:after="0"/>
              <w:rPr>
                <w:sz w:val="20"/>
                <w:szCs w:val="20"/>
                <w:color w:val="auto"/>
              </w:rPr>
            </w:pPr>
          </w:p>
        </w:tc>
      </w:tr>
      <w:tr>
        <w:trPr>
          <w:trHeight w:val="282"/>
        </w:trPr>
        <w:tc>
          <w:tcPr>
            <w:tcW w:w="24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420" w:type="dxa"/>
            <w:vAlign w:val="bottom"/>
            <w:gridSpan w:val="4"/>
          </w:tcPr>
          <w:p>
            <w:pPr>
              <w:spacing w:after="0"/>
              <w:rPr>
                <w:sz w:val="20"/>
                <w:szCs w:val="20"/>
                <w:color w:val="auto"/>
              </w:rPr>
            </w:pPr>
            <w:r>
              <w:rPr>
                <w:rFonts w:ascii="Times New Roman" w:cs="Times New Roman" w:eastAsia="Times New Roman" w:hAnsi="Times New Roman"/>
                <w:sz w:val="22"/>
                <w:szCs w:val="22"/>
                <w:color w:val="auto"/>
                <w:w w:val="97"/>
              </w:rPr>
              <w:t>Vice President and Corporate Secretary</w:t>
            </w:r>
          </w:p>
        </w:tc>
      </w:tr>
    </w:tbl>
    <w:p>
      <w:pPr>
        <w:spacing w:after="0" w:line="200" w:lineRule="exact"/>
        <w:rPr>
          <w:sz w:val="20"/>
          <w:szCs w:val="20"/>
          <w:color w:val="auto"/>
        </w:rPr>
      </w:pPr>
    </w:p>
    <w:p>
      <w:pPr>
        <w:spacing w:after="0" w:line="2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CERTIFICATE OF AUTHENTICATION</w:t>
      </w:r>
    </w:p>
    <w:p>
      <w:pPr>
        <w:spacing w:after="0" w:line="206" w:lineRule="exact"/>
        <w:rPr>
          <w:sz w:val="20"/>
          <w:szCs w:val="20"/>
          <w:color w:val="auto"/>
        </w:rPr>
      </w:pPr>
    </w:p>
    <w:p>
      <w:pPr>
        <w:ind w:left="200" w:right="219" w:firstLine="667"/>
        <w:spacing w:after="0" w:line="258" w:lineRule="auto"/>
        <w:rPr>
          <w:sz w:val="20"/>
          <w:szCs w:val="20"/>
          <w:color w:val="auto"/>
        </w:rPr>
      </w:pPr>
      <w:r>
        <w:rPr>
          <w:rFonts w:ascii="Times New Roman" w:cs="Times New Roman" w:eastAsia="Times New Roman" w:hAnsi="Times New Roman"/>
          <w:sz w:val="22"/>
          <w:szCs w:val="22"/>
          <w:color w:val="auto"/>
        </w:rPr>
        <w:t>This is one of the Securities of the series designated therein referred to in the within-mentioned Indenture.</w:t>
      </w:r>
    </w:p>
    <w:p>
      <w:pPr>
        <w:spacing w:after="0" w:line="148"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32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Date of Authentication:</w:t>
            </w:r>
          </w:p>
        </w:tc>
        <w:tc>
          <w:tcPr>
            <w:tcW w:w="5360" w:type="dxa"/>
            <w:vAlign w:val="bottom"/>
            <w:gridSpan w:val="3"/>
          </w:tcPr>
          <w:p>
            <w:pPr>
              <w:ind w:left="1100"/>
              <w:spacing w:after="0"/>
              <w:rPr>
                <w:sz w:val="20"/>
                <w:szCs w:val="20"/>
                <w:color w:val="auto"/>
              </w:rPr>
            </w:pPr>
            <w:r>
              <w:rPr>
                <w:rFonts w:ascii="Times New Roman" w:cs="Times New Roman" w:eastAsia="Times New Roman" w:hAnsi="Times New Roman"/>
                <w:sz w:val="22"/>
                <w:szCs w:val="22"/>
                <w:color w:val="auto"/>
                <w:w w:val="99"/>
              </w:rPr>
              <w:t>The Bank of New York Mellon Trust Company,</w:t>
            </w:r>
          </w:p>
        </w:tc>
      </w:tr>
      <w:tr>
        <w:trPr>
          <w:trHeight w:val="282"/>
        </w:trPr>
        <w:tc>
          <w:tcPr>
            <w:tcW w:w="3220" w:type="dxa"/>
            <w:vAlign w:val="bottom"/>
          </w:tcPr>
          <w:p>
            <w:pPr>
              <w:spacing w:after="0"/>
              <w:rPr>
                <w:sz w:val="24"/>
                <w:szCs w:val="24"/>
                <w:color w:val="auto"/>
              </w:rPr>
            </w:pPr>
          </w:p>
        </w:tc>
        <w:tc>
          <w:tcPr>
            <w:tcW w:w="5360" w:type="dxa"/>
            <w:vAlign w:val="bottom"/>
            <w:gridSpan w:val="3"/>
          </w:tcPr>
          <w:p>
            <w:pPr>
              <w:ind w:left="1100"/>
              <w:spacing w:after="0"/>
              <w:rPr>
                <w:sz w:val="20"/>
                <w:szCs w:val="20"/>
                <w:color w:val="auto"/>
              </w:rPr>
            </w:pPr>
            <w:r>
              <w:rPr>
                <w:rFonts w:ascii="Times New Roman" w:cs="Times New Roman" w:eastAsia="Times New Roman" w:hAnsi="Times New Roman"/>
                <w:sz w:val="22"/>
                <w:szCs w:val="22"/>
                <w:color w:val="auto"/>
              </w:rPr>
              <w:t>N.A., as Trustee</w:t>
            </w:r>
          </w:p>
        </w:tc>
      </w:tr>
      <w:tr>
        <w:trPr>
          <w:trHeight w:val="434"/>
        </w:trPr>
        <w:tc>
          <w:tcPr>
            <w:tcW w:w="3220" w:type="dxa"/>
            <w:vAlign w:val="bottom"/>
          </w:tcPr>
          <w:p>
            <w:pPr>
              <w:spacing w:after="0"/>
              <w:rPr>
                <w:sz w:val="24"/>
                <w:szCs w:val="24"/>
                <w:color w:val="auto"/>
              </w:rPr>
            </w:pPr>
          </w:p>
        </w:tc>
        <w:tc>
          <w:tcPr>
            <w:tcW w:w="5360" w:type="dxa"/>
            <w:vAlign w:val="bottom"/>
            <w:gridSpan w:val="3"/>
          </w:tcPr>
          <w:p>
            <w:pPr>
              <w:ind w:left="1100"/>
              <w:spacing w:after="0"/>
              <w:rPr>
                <w:sz w:val="20"/>
                <w:szCs w:val="20"/>
                <w:color w:val="auto"/>
              </w:rPr>
            </w:pPr>
            <w:r>
              <w:rPr>
                <w:rFonts w:ascii="Times New Roman" w:cs="Times New Roman" w:eastAsia="Times New Roman" w:hAnsi="Times New Roman"/>
                <w:sz w:val="22"/>
                <w:szCs w:val="22"/>
                <w:color w:val="auto"/>
              </w:rPr>
              <w:t>By: ​</w:t>
            </w:r>
          </w:p>
        </w:tc>
      </w:tr>
      <w:tr>
        <w:trPr>
          <w:trHeight w:val="236"/>
        </w:trPr>
        <w:tc>
          <w:tcPr>
            <w:tcW w:w="3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520" w:type="dxa"/>
            <w:vAlign w:val="bottom"/>
            <w:tcBorders>
              <w:top w:val="single" w:sz="8" w:color="auto"/>
            </w:tcBorders>
          </w:tcPr>
          <w:p>
            <w:pPr>
              <w:ind w:left="80"/>
              <w:spacing w:after="0" w:line="236" w:lineRule="exact"/>
              <w:rPr>
                <w:sz w:val="20"/>
                <w:szCs w:val="20"/>
                <w:color w:val="auto"/>
              </w:rPr>
            </w:pPr>
            <w:r>
              <w:rPr>
                <w:rFonts w:ascii="Times New Roman" w:cs="Times New Roman" w:eastAsia="Times New Roman" w:hAnsi="Times New Roman"/>
                <w:sz w:val="22"/>
                <w:szCs w:val="22"/>
                <w:color w:val="auto"/>
              </w:rPr>
              <w:t>Michael C. Jenkins</w:t>
            </w:r>
          </w:p>
        </w:tc>
        <w:tc>
          <w:tcPr>
            <w:tcW w:w="320" w:type="dxa"/>
            <w:vAlign w:val="bottom"/>
          </w:tcPr>
          <w:p>
            <w:pPr>
              <w:spacing w:after="0"/>
              <w:rPr>
                <w:sz w:val="20"/>
                <w:szCs w:val="20"/>
                <w:color w:val="auto"/>
              </w:rPr>
            </w:pPr>
          </w:p>
        </w:tc>
      </w:tr>
      <w:tr>
        <w:trPr>
          <w:trHeight w:val="282"/>
        </w:trPr>
        <w:tc>
          <w:tcPr>
            <w:tcW w:w="3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8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Vice President</w:t>
            </w:r>
          </w:p>
        </w:tc>
      </w:tr>
      <w:tr>
        <w:trPr>
          <w:trHeight w:val="1493"/>
        </w:trPr>
        <w:tc>
          <w:tcPr>
            <w:tcW w:w="32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2" w:right="1440"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22"/>
          <w:szCs w:val="22"/>
          <w:color w:val="auto"/>
        </w:rPr>
        <w:t>REVERSE OF BOOK-ENTRY SECURITY</w:t>
      </w:r>
    </w:p>
    <w:p>
      <w:pPr>
        <w:spacing w:after="0" w:line="23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WASTE MANAGEMENT, INC.</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4.950% SENIOR NOTES DUE 2027</w:t>
      </w:r>
    </w:p>
    <w:p>
      <w:pPr>
        <w:spacing w:after="0" w:line="233" w:lineRule="exact"/>
        <w:rPr>
          <w:sz w:val="20"/>
          <w:szCs w:val="20"/>
          <w:color w:val="auto"/>
        </w:rPr>
      </w:pPr>
    </w:p>
    <w:p>
      <w:pPr>
        <w:jc w:val="both"/>
        <w:ind w:left="200" w:right="219" w:firstLine="667"/>
        <w:spacing w:after="0" w:line="233" w:lineRule="auto"/>
        <w:rPr>
          <w:sz w:val="20"/>
          <w:szCs w:val="20"/>
          <w:color w:val="auto"/>
        </w:rPr>
      </w:pPr>
      <w:r>
        <w:rPr>
          <w:rFonts w:ascii="Times New Roman" w:cs="Times New Roman" w:eastAsia="Times New Roman" w:hAnsi="Times New Roman"/>
          <w:sz w:val="22"/>
          <w:szCs w:val="22"/>
          <w:color w:val="auto"/>
        </w:rPr>
        <w:t>This Security is one of a duly authorized issue of unsecured debentures, notes or other evidences of indebtedness of the Company (the “Debt Securities”) of the series hereinafter specified, all issued or to be issued under and pursuant to the Indenture, to which Indenture reference is hereby made for a description of the rights, limitations of rights, obligations, duties and immunities thereunder of the Trustee, the Company and the Holders of the Debt Securities. The Debt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4.950% Senior Notes due 2027 of the Company, in initial aggregate principal amount of $750,000,000 (the “Securities”).</w:t>
      </w:r>
    </w:p>
    <w:p>
      <w:pPr>
        <w:spacing w:after="0" w:line="183" w:lineRule="exact"/>
        <w:rPr>
          <w:sz w:val="20"/>
          <w:szCs w:val="20"/>
          <w:color w:val="auto"/>
        </w:rPr>
      </w:pPr>
    </w:p>
    <w:p>
      <w:pPr>
        <w:ind w:left="1500" w:hanging="643"/>
        <w:spacing w:after="0"/>
        <w:tabs>
          <w:tab w:leader="none" w:pos="150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Interest.</w:t>
      </w:r>
    </w:p>
    <w:p>
      <w:pPr>
        <w:spacing w:after="0" w:line="210" w:lineRule="exact"/>
        <w:rPr>
          <w:sz w:val="20"/>
          <w:szCs w:val="20"/>
          <w:color w:val="auto"/>
        </w:rPr>
      </w:pPr>
    </w:p>
    <w:p>
      <w:pPr>
        <w:jc w:val="both"/>
        <w:ind w:left="200" w:right="219" w:firstLine="667"/>
        <w:spacing w:after="0" w:line="258" w:lineRule="auto"/>
        <w:rPr>
          <w:sz w:val="20"/>
          <w:szCs w:val="20"/>
          <w:color w:val="auto"/>
        </w:rPr>
      </w:pPr>
      <w:r>
        <w:rPr>
          <w:rFonts w:ascii="Times New Roman" w:cs="Times New Roman" w:eastAsia="Times New Roman" w:hAnsi="Times New Roman"/>
          <w:sz w:val="22"/>
          <w:szCs w:val="22"/>
          <w:color w:val="auto"/>
        </w:rPr>
        <w:t>The Company promises to pay interest on the principal amount of this Security at the rate of 4.950% per annum.</w:t>
      </w:r>
    </w:p>
    <w:p>
      <w:pPr>
        <w:spacing w:after="0" w:line="158" w:lineRule="exact"/>
        <w:rPr>
          <w:sz w:val="20"/>
          <w:szCs w:val="20"/>
          <w:color w:val="auto"/>
        </w:rPr>
      </w:pPr>
    </w:p>
    <w:p>
      <w:pPr>
        <w:jc w:val="both"/>
        <w:ind w:left="200" w:right="219" w:firstLine="667"/>
        <w:spacing w:after="0" w:line="235" w:lineRule="auto"/>
        <w:rPr>
          <w:sz w:val="20"/>
          <w:szCs w:val="20"/>
          <w:color w:val="auto"/>
        </w:rPr>
      </w:pPr>
      <w:r>
        <w:rPr>
          <w:rFonts w:ascii="Times New Roman" w:cs="Times New Roman" w:eastAsia="Times New Roman" w:hAnsi="Times New Roman"/>
          <w:sz w:val="22"/>
          <w:szCs w:val="22"/>
          <w:color w:val="auto"/>
        </w:rPr>
        <w:t>The Company will pay interest semi-annually on January 3 and July 3 of each year (each an “Interest Payment Date”), commencing January 3, 2025. Interest on the Securities will accrue from the most recent date to which interest has been paid or, if no interest has been paid on the Securities, from July 3, 2024. Interest will be computed on the basis of a 360-day year consisting of twelve 30-day months. The Company shall pay interest (including post-petition interest in any proceeding under any applicable bankruptcy laws) on overdue installments of interest (without regard to any applicable grace period) and on overdue principal and premium, if any, from time to time on demand at the rate of 4.950% per annum, in each case to the extent lawful.</w:t>
      </w:r>
    </w:p>
    <w:p>
      <w:pPr>
        <w:spacing w:after="0" w:line="174" w:lineRule="exact"/>
        <w:rPr>
          <w:sz w:val="20"/>
          <w:szCs w:val="20"/>
          <w:color w:val="auto"/>
        </w:rPr>
      </w:pPr>
    </w:p>
    <w:p>
      <w:pPr>
        <w:ind w:left="1500" w:hanging="643"/>
        <w:spacing w:after="0"/>
        <w:tabs>
          <w:tab w:leader="none" w:pos="150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Method of Payment.</w:t>
      </w:r>
    </w:p>
    <w:p>
      <w:pPr>
        <w:spacing w:after="0" w:line="210" w:lineRule="exact"/>
        <w:rPr>
          <w:sz w:val="20"/>
          <w:szCs w:val="20"/>
          <w:color w:val="auto"/>
        </w:rPr>
      </w:pPr>
    </w:p>
    <w:p>
      <w:pPr>
        <w:jc w:val="both"/>
        <w:ind w:left="200" w:right="219" w:firstLine="667"/>
        <w:spacing w:after="0" w:line="244" w:lineRule="auto"/>
        <w:rPr>
          <w:sz w:val="20"/>
          <w:szCs w:val="20"/>
          <w:color w:val="auto"/>
        </w:rPr>
      </w:pPr>
      <w:r>
        <w:rPr>
          <w:rFonts w:ascii="Times New Roman" w:cs="Times New Roman" w:eastAsia="Times New Roman" w:hAnsi="Times New Roman"/>
          <w:sz w:val="21"/>
          <w:szCs w:val="21"/>
          <w:color w:val="auto"/>
        </w:rPr>
        <w:t>The Company shall pay interest on the Securities (except Defaulted Interest) to the persons who are the registered Holders at the close of business on the Regular Record Date immediately preceding the Interest Payment Date. Any such interest not so punctually paid or duly provided for (“Defaulted Interest”)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Except as provided below, the Company shall pay principal and interest in such coin or currency of the United States of America as at the time of payment shall be legal tender for payment of public and private debts (“U.S. Legal Tender”). Payments in respect of a Book-Entry Security (including principal, premium, if any, and interest) will be made by wire transfer of immediately available funds to the accounts specified by the Depository. Payments in respect of Securities in definitive form (including principal, premium,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494030</wp:posOffset>
            </wp:positionV>
            <wp:extent cx="545211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7" w:name="page58"/>
    <w:bookmarkEnd w:id="57"/>
    <w:p>
      <w:pPr>
        <w:jc w:val="both"/>
        <w:ind w:left="200" w:right="219"/>
        <w:spacing w:after="0" w:line="236" w:lineRule="auto"/>
        <w:rPr>
          <w:sz w:val="20"/>
          <w:szCs w:val="20"/>
          <w:color w:val="auto"/>
        </w:rPr>
      </w:pPr>
      <w:r>
        <w:rPr>
          <w:rFonts w:ascii="Times New Roman" w:cs="Times New Roman" w:eastAsia="Times New Roman" w:hAnsi="Times New Roman"/>
          <w:sz w:val="22"/>
          <w:szCs w:val="22"/>
          <w:color w:val="auto"/>
        </w:rPr>
        <w:t>any, and interest) will be made at the office or agency of the Company maintained for such purpose within the Borough of Manhattan, the City of New York, which initially will be at the corporate trust office of The Bank of New York Mellon, located at 240 Greenwich Street, New York, New York, 10286 or at the option of the Company, payment of interest may be made by check mailed to the Holders on the Regular Record Date or on the Special Record Date at their addresses set forth in the Security Register of Holders.</w:t>
      </w:r>
    </w:p>
    <w:p>
      <w:pPr>
        <w:spacing w:after="0" w:line="178" w:lineRule="exact"/>
        <w:rPr>
          <w:sz w:val="20"/>
          <w:szCs w:val="20"/>
          <w:color w:val="auto"/>
        </w:rPr>
      </w:pPr>
    </w:p>
    <w:p>
      <w:pPr>
        <w:ind w:left="1500" w:hanging="643"/>
        <w:spacing w:after="0"/>
        <w:tabs>
          <w:tab w:leader="none" w:pos="150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Paying Agent and Registrar.</w:t>
      </w:r>
    </w:p>
    <w:p>
      <w:pPr>
        <w:spacing w:after="0" w:line="210" w:lineRule="exact"/>
        <w:rPr>
          <w:sz w:val="20"/>
          <w:szCs w:val="20"/>
          <w:color w:val="auto"/>
        </w:rPr>
      </w:pPr>
    </w:p>
    <w:p>
      <w:pPr>
        <w:jc w:val="both"/>
        <w:ind w:left="200" w:right="219" w:firstLine="667"/>
        <w:spacing w:after="0" w:line="239" w:lineRule="auto"/>
        <w:rPr>
          <w:sz w:val="20"/>
          <w:szCs w:val="20"/>
          <w:color w:val="auto"/>
        </w:rPr>
      </w:pPr>
      <w:r>
        <w:rPr>
          <w:rFonts w:ascii="Times New Roman" w:cs="Times New Roman" w:eastAsia="Times New Roman" w:hAnsi="Times New Roman"/>
          <w:sz w:val="22"/>
          <w:szCs w:val="22"/>
          <w:color w:val="auto"/>
        </w:rPr>
        <w:t>Initially, The Bank of New York Mellon Trust Company, N.A. will act as Paying Agent and Registrar. The Company may change any Paying Agent, Registrar or co-Registrar at any time upon notice to the Trustee and the Holders. The Company or any of its Subsidiaries may, subject to certain exceptions, act as Paying Agent, Registrar or co-Registrar.</w:t>
      </w:r>
    </w:p>
    <w:p>
      <w:pPr>
        <w:spacing w:after="0" w:line="176" w:lineRule="exact"/>
        <w:rPr>
          <w:sz w:val="20"/>
          <w:szCs w:val="20"/>
          <w:color w:val="auto"/>
        </w:rPr>
      </w:pPr>
    </w:p>
    <w:p>
      <w:pPr>
        <w:ind w:left="1500" w:hanging="643"/>
        <w:spacing w:after="0"/>
        <w:tabs>
          <w:tab w:leader="none" w:pos="150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Indenture.</w:t>
      </w:r>
    </w:p>
    <w:p>
      <w:pPr>
        <w:spacing w:after="0" w:line="210" w:lineRule="exact"/>
        <w:rPr>
          <w:sz w:val="20"/>
          <w:szCs w:val="20"/>
          <w:color w:val="auto"/>
        </w:rPr>
      </w:pPr>
    </w:p>
    <w:p>
      <w:pPr>
        <w:jc w:val="both"/>
        <w:ind w:left="200" w:right="219" w:firstLine="667"/>
        <w:spacing w:after="0" w:line="258" w:lineRule="auto"/>
        <w:rPr>
          <w:sz w:val="20"/>
          <w:szCs w:val="20"/>
          <w:color w:val="auto"/>
        </w:rPr>
      </w:pPr>
      <w:r>
        <w:rPr>
          <w:rFonts w:ascii="Times New Roman" w:cs="Times New Roman" w:eastAsia="Times New Roman" w:hAnsi="Times New Roman"/>
          <w:sz w:val="22"/>
          <w:szCs w:val="22"/>
          <w:color w:val="auto"/>
        </w:rPr>
        <w:t>This Security is one of a duly authorized issue of Debt Securities of the Company issued and to be issued in one or more series under the Indenture.</w:t>
      </w:r>
    </w:p>
    <w:p>
      <w:pPr>
        <w:spacing w:after="0" w:line="158" w:lineRule="exact"/>
        <w:rPr>
          <w:sz w:val="20"/>
          <w:szCs w:val="20"/>
          <w:color w:val="auto"/>
        </w:rPr>
      </w:pPr>
    </w:p>
    <w:p>
      <w:pPr>
        <w:jc w:val="both"/>
        <w:ind w:left="200" w:right="219" w:firstLine="667"/>
        <w:spacing w:after="0" w:line="233" w:lineRule="auto"/>
        <w:rPr>
          <w:sz w:val="20"/>
          <w:szCs w:val="20"/>
          <w:color w:val="auto"/>
        </w:rPr>
      </w:pPr>
      <w:r>
        <w:rPr>
          <w:rFonts w:ascii="Times New Roman" w:cs="Times New Roman" w:eastAsia="Times New Roman" w:hAnsi="Times New Roman"/>
          <w:sz w:val="22"/>
          <w:szCs w:val="22"/>
          <w:color w:val="auto"/>
        </w:rPr>
        <w:t>Capitalized terms herein are used as defined in the Indenture unless otherwise defined herein. The terms of the Securities include those stated in the Indenture and all indentures supplemental thereto, those made part of the Indenture by reference to the Trust Indenture Act of 1939, as amended, as in effect on the date of the Indenture, and those terms stated in the Officers’ Certificate to the Trustee, duly authorized by resolutions of the Board of Directors of the Company on March 1, 2022 and August 21, 2023 (the “Resolutions”) and the written consent of the Sole Director of Waste Management Holdings, Inc. on June 18, 2024 (the “Consent”). The Securities are subject to all such terms, and Holders of Securities are referred to the Indenture, all indentures supplemental thereto, said Act, said Resolutions and said Consent and Officers’ Certificate for a statement of them. The Securities of this series are general unsecured obligations of the Company limited with an initial aggregate principal amount of $750,000,000.</w:t>
      </w:r>
    </w:p>
    <w:p>
      <w:pPr>
        <w:spacing w:after="0" w:line="183" w:lineRule="exact"/>
        <w:rPr>
          <w:sz w:val="20"/>
          <w:szCs w:val="20"/>
          <w:color w:val="auto"/>
        </w:rPr>
      </w:pPr>
    </w:p>
    <w:p>
      <w:pPr>
        <w:ind w:left="1500" w:hanging="643"/>
        <w:spacing w:after="0"/>
        <w:tabs>
          <w:tab w:leader="none" w:pos="150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Redemption.</w:t>
      </w:r>
    </w:p>
    <w:p>
      <w:pPr>
        <w:spacing w:after="0" w:line="210" w:lineRule="exact"/>
        <w:rPr>
          <w:sz w:val="20"/>
          <w:szCs w:val="20"/>
          <w:color w:val="auto"/>
        </w:rPr>
      </w:pPr>
    </w:p>
    <w:p>
      <w:pPr>
        <w:jc w:val="both"/>
        <w:ind w:left="200" w:right="219" w:firstLine="667"/>
        <w:spacing w:after="0" w:line="244" w:lineRule="auto"/>
        <w:rPr>
          <w:sz w:val="20"/>
          <w:szCs w:val="20"/>
          <w:color w:val="auto"/>
        </w:rPr>
      </w:pPr>
      <w:r>
        <w:rPr>
          <w:rFonts w:ascii="Times New Roman" w:cs="Times New Roman" w:eastAsia="Times New Roman" w:hAnsi="Times New Roman"/>
          <w:sz w:val="22"/>
          <w:szCs w:val="22"/>
          <w:color w:val="auto"/>
        </w:rPr>
        <w:t>Prior to the Par Call Date, the Company may redeem the Securities at its option, in whole or in part, at any time and from time to time, at a Redemption Price (expressed as a percentage of principal amount and rounded to three decimal places) equal to the greater of:</w:t>
      </w:r>
    </w:p>
    <w:p>
      <w:pPr>
        <w:spacing w:after="0" w:line="173" w:lineRule="exact"/>
        <w:rPr>
          <w:sz w:val="20"/>
          <w:szCs w:val="20"/>
          <w:color w:val="auto"/>
        </w:rPr>
      </w:pPr>
    </w:p>
    <w:p>
      <w:pPr>
        <w:jc w:val="both"/>
        <w:ind w:left="860" w:right="219" w:firstLine="15"/>
        <w:spacing w:after="0" w:line="238" w:lineRule="auto"/>
        <w:tabs>
          <w:tab w:leader="none" w:pos="1192"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the sum of the present values of the remaining scheduled payments of principal and interest thereon discounted to the Redemption Date (assuming the Securities matured on the Par Call Date) on a semi-annual basis (assuming a 360-day year consisting of twelve 30-day months) at the Treasury Rate plus 10 basis points, less (b) interest accrued to the Redemption Date, and</w:t>
      </w:r>
    </w:p>
    <w:p>
      <w:pPr>
        <w:spacing w:after="0" w:line="176" w:lineRule="exact"/>
        <w:rPr>
          <w:rFonts w:ascii="Times New Roman" w:cs="Times New Roman" w:eastAsia="Times New Roman" w:hAnsi="Times New Roman"/>
          <w:sz w:val="22"/>
          <w:szCs w:val="22"/>
          <w:color w:val="auto"/>
        </w:rPr>
      </w:pPr>
    </w:p>
    <w:p>
      <w:pPr>
        <w:ind w:left="1180" w:hanging="305"/>
        <w:spacing w:after="0"/>
        <w:tabs>
          <w:tab w:leader="none" w:pos="118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 of the principal amount of the Securities to be redeemed,</w:t>
      </w: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plus, in either case, accrued and unpaid interest thereon to the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645160</wp:posOffset>
            </wp:positionV>
            <wp:extent cx="545211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8" w:name="page59"/>
    <w:bookmarkEnd w:id="58"/>
    <w:p>
      <w:pPr>
        <w:jc w:val="both"/>
        <w:ind w:left="200" w:right="219" w:firstLine="667"/>
        <w:spacing w:after="0"/>
        <w:rPr>
          <w:sz w:val="20"/>
          <w:szCs w:val="20"/>
          <w:color w:val="auto"/>
        </w:rPr>
      </w:pPr>
      <w:r>
        <w:rPr>
          <w:rFonts w:ascii="Times New Roman" w:cs="Times New Roman" w:eastAsia="Times New Roman" w:hAnsi="Times New Roman"/>
          <w:sz w:val="22"/>
          <w:szCs w:val="22"/>
          <w:color w:val="auto"/>
        </w:rPr>
        <w:t>On or after the Par Call Date, the Company may redeem the Securities at its option, in whole or in part, at any time and from time to time, at a Redemption Price equal to 100% of the principal amount of the Securities to be redeemed, plus accrued and unpaid interest thereon to the Redemption Date.</w:t>
      </w:r>
    </w:p>
    <w:p>
      <w:pPr>
        <w:spacing w:after="0" w:line="17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“Par Call Date” means June 3, 2027.</w:t>
      </w:r>
    </w:p>
    <w:p>
      <w:pPr>
        <w:spacing w:after="0" w:line="206" w:lineRule="exact"/>
        <w:rPr>
          <w:sz w:val="20"/>
          <w:szCs w:val="20"/>
          <w:color w:val="auto"/>
        </w:rPr>
      </w:pPr>
    </w:p>
    <w:p>
      <w:pPr>
        <w:jc w:val="both"/>
        <w:ind w:left="200" w:right="219" w:firstLine="667"/>
        <w:spacing w:after="0" w:line="258" w:lineRule="auto"/>
        <w:rPr>
          <w:sz w:val="20"/>
          <w:szCs w:val="20"/>
          <w:color w:val="auto"/>
        </w:rPr>
      </w:pPr>
      <w:r>
        <w:rPr>
          <w:rFonts w:ascii="Times New Roman" w:cs="Times New Roman" w:eastAsia="Times New Roman" w:hAnsi="Times New Roman"/>
          <w:sz w:val="22"/>
          <w:szCs w:val="22"/>
          <w:color w:val="auto"/>
        </w:rPr>
        <w:t>“Treasury Rate” means, with respect to any Redemption Date, the yield determined by the Company in accordance with the following two paragraphs.</w:t>
      </w:r>
    </w:p>
    <w:p>
      <w:pPr>
        <w:spacing w:after="0" w:line="158" w:lineRule="exact"/>
        <w:rPr>
          <w:sz w:val="20"/>
          <w:szCs w:val="20"/>
          <w:color w:val="auto"/>
        </w:rPr>
      </w:pPr>
    </w:p>
    <w:p>
      <w:pPr>
        <w:jc w:val="both"/>
        <w:ind w:left="200" w:right="219" w:firstLine="667"/>
        <w:spacing w:after="0" w:line="243" w:lineRule="auto"/>
        <w:rPr>
          <w:sz w:val="20"/>
          <w:szCs w:val="20"/>
          <w:color w:val="auto"/>
        </w:rPr>
      </w:pPr>
      <w:r>
        <w:rPr>
          <w:rFonts w:ascii="Times New Roman" w:cs="Times New Roman" w:eastAsia="Times New Roman" w:hAnsi="Times New Roman"/>
          <w:sz w:val="21"/>
          <w:szCs w:val="21"/>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 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86" w:lineRule="exact"/>
        <w:rPr>
          <w:sz w:val="20"/>
          <w:szCs w:val="20"/>
          <w:color w:val="auto"/>
        </w:rPr>
      </w:pPr>
    </w:p>
    <w:p>
      <w:pPr>
        <w:jc w:val="both"/>
        <w:ind w:left="200" w:right="219" w:firstLine="667"/>
        <w:spacing w:after="0" w:line="244" w:lineRule="auto"/>
        <w:rPr>
          <w:sz w:val="20"/>
          <w:szCs w:val="20"/>
          <w:color w:val="auto"/>
        </w:rPr>
      </w:pPr>
      <w:r>
        <w:rPr>
          <w:rFonts w:ascii="Times New Roman" w:cs="Times New Roman" w:eastAsia="Times New Roman" w:hAnsi="Times New Roman"/>
          <w:sz w:val="21"/>
          <w:szCs w:val="21"/>
          <w:color w:val="auto"/>
        </w:rPr>
        <w:t>If on the third Business Day preceding the Redemption Date H.15 TCM or any successor designation or publication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488950</wp:posOffset>
            </wp:positionV>
            <wp:extent cx="545211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9" w:name="page60"/>
    <w:bookmarkEnd w:id="59"/>
    <w:p>
      <w:pPr>
        <w:jc w:val="both"/>
        <w:ind w:left="200" w:right="219"/>
        <w:spacing w:after="0" w:line="244" w:lineRule="auto"/>
        <w:rPr>
          <w:sz w:val="20"/>
          <w:szCs w:val="20"/>
          <w:color w:val="auto"/>
        </w:rPr>
      </w:pPr>
      <w:r>
        <w:rPr>
          <w:rFonts w:ascii="Times New Roman" w:cs="Times New Roman" w:eastAsia="Times New Roman" w:hAnsi="Times New Roman"/>
          <w:sz w:val="22"/>
          <w:szCs w:val="22"/>
          <w:color w:val="auto"/>
        </w:rPr>
        <w:t>security shall be based upon the average of the bid and asked prices (expressed as a percentage of principal amount) at 11:00 a.m., New York City time, of such United States Treasury security, and rounded to three decimal places.</w:t>
      </w:r>
    </w:p>
    <w:p>
      <w:pPr>
        <w:spacing w:after="0" w:line="174" w:lineRule="exact"/>
        <w:rPr>
          <w:sz w:val="20"/>
          <w:szCs w:val="20"/>
          <w:color w:val="auto"/>
        </w:rPr>
      </w:pPr>
    </w:p>
    <w:p>
      <w:pPr>
        <w:jc w:val="both"/>
        <w:ind w:left="200" w:right="219" w:firstLine="667"/>
        <w:spacing w:after="0" w:line="238" w:lineRule="auto"/>
        <w:rPr>
          <w:sz w:val="20"/>
          <w:szCs w:val="20"/>
          <w:color w:val="auto"/>
        </w:rPr>
      </w:pPr>
      <w:r>
        <w:rPr>
          <w:rFonts w:ascii="Times New Roman" w:cs="Times New Roman" w:eastAsia="Times New Roman" w:hAnsi="Times New Roman"/>
          <w:sz w:val="22"/>
          <w:szCs w:val="22"/>
          <w:color w:val="auto"/>
        </w:rPr>
        <w:t>The Company’s actions and determinations in determining the Redemption Price shall be conclusive and binding for all purposes, absent manifest error. The Company will notify the Trustee of the Redemption Price promptly after the calculation thereof and the Trustee shall not be responsible or liable for any calculation of the Redemption Price or of any component thereof, or for determining whether manifest error has occurred.</w:t>
      </w:r>
    </w:p>
    <w:p>
      <w:pPr>
        <w:spacing w:after="0" w:line="177" w:lineRule="exact"/>
        <w:rPr>
          <w:sz w:val="20"/>
          <w:szCs w:val="20"/>
          <w:color w:val="auto"/>
        </w:rPr>
      </w:pPr>
    </w:p>
    <w:p>
      <w:pPr>
        <w:jc w:val="both"/>
        <w:ind w:left="200" w:right="219" w:firstLine="667"/>
        <w:spacing w:after="0" w:line="244" w:lineRule="auto"/>
        <w:rPr>
          <w:sz w:val="20"/>
          <w:szCs w:val="20"/>
          <w:color w:val="auto"/>
        </w:rPr>
      </w:pPr>
      <w:r>
        <w:rPr>
          <w:rFonts w:ascii="Times New Roman" w:cs="Times New Roman" w:eastAsia="Times New Roman" w:hAnsi="Times New Roman"/>
          <w:sz w:val="21"/>
          <w:szCs w:val="21"/>
          <w:color w:val="auto"/>
        </w:rPr>
        <w:t>Securities called for redemption become due on the Redemption Date. Notices of redemption will be mailed or electronically delivered (or otherwise transmitted in accordance with the Depositary’s procedures) at least 10 but not more than 60 days before the Redemption Date to each holder of record of the Securities to be redeemed at its registered address. The notice of redemption for the Securities will state, among other things, the amount of Securities to be redeemed, the Redemption Date, the Redemption Price or, if not ascertainable, the manner of determining the Redemption Price and the place(s) that payment will be made upon presentation and surrender of Securities to be redeemed. Unless the Company defaults in payment of the Redemption Price, interest will cease to accrue on any Securities that have been called for redemption at the Redemption Date. If less than all the Securities are redeemed at any time, the Trustee will select the Securities to be redeemed on a pro rata basis, by lot or by such other method as the Trustee in its sole discretion deems appropriate and fair. In the case of Securities in global form, the Depositary will determine the allocation of the Redemption Price among beneficial owners in such global Securities in accordance with the Depositary’s applicable procedures.</w:t>
      </w:r>
    </w:p>
    <w:p>
      <w:pPr>
        <w:spacing w:after="0" w:line="181" w:lineRule="exact"/>
        <w:rPr>
          <w:sz w:val="20"/>
          <w:szCs w:val="20"/>
          <w:color w:val="auto"/>
        </w:rPr>
      </w:pPr>
    </w:p>
    <w:p>
      <w:pPr>
        <w:jc w:val="both"/>
        <w:ind w:left="200" w:right="219" w:firstLine="667"/>
        <w:spacing w:after="0" w:line="258" w:lineRule="auto"/>
        <w:rPr>
          <w:sz w:val="20"/>
          <w:szCs w:val="20"/>
          <w:color w:val="auto"/>
        </w:rPr>
      </w:pPr>
      <w:r>
        <w:rPr>
          <w:rFonts w:ascii="Times New Roman" w:cs="Times New Roman" w:eastAsia="Times New Roman" w:hAnsi="Times New Roman"/>
          <w:sz w:val="22"/>
          <w:szCs w:val="22"/>
          <w:color w:val="auto"/>
        </w:rPr>
        <w:t>Except as set forth above, the Securities will not be redeemable prior to their Stated Maturity and will not be entitled to the benefit of any sinking fund.</w:t>
      </w:r>
    </w:p>
    <w:p>
      <w:pPr>
        <w:spacing w:after="0" w:line="158" w:lineRule="exact"/>
        <w:rPr>
          <w:sz w:val="20"/>
          <w:szCs w:val="20"/>
          <w:color w:val="auto"/>
        </w:rPr>
      </w:pPr>
    </w:p>
    <w:p>
      <w:pPr>
        <w:jc w:val="both"/>
        <w:ind w:left="200" w:right="219" w:firstLine="667"/>
        <w:spacing w:after="0" w:line="258" w:lineRule="auto"/>
        <w:rPr>
          <w:sz w:val="20"/>
          <w:szCs w:val="20"/>
          <w:color w:val="auto"/>
        </w:rPr>
      </w:pPr>
      <w:r>
        <w:rPr>
          <w:rFonts w:ascii="Times New Roman" w:cs="Times New Roman" w:eastAsia="Times New Roman" w:hAnsi="Times New Roman"/>
          <w:sz w:val="22"/>
          <w:szCs w:val="22"/>
          <w:color w:val="auto"/>
        </w:rPr>
        <w:t>The Securities may be redeemed in part in a minimum principal amount of $2,000, or any integral multiple of $1,000 in excess thereof.</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Any such redemption will also comply with Article Eleven of the Indenture.</w:t>
      </w:r>
    </w:p>
    <w:p>
      <w:pPr>
        <w:spacing w:after="0" w:line="202" w:lineRule="exact"/>
        <w:rPr>
          <w:sz w:val="20"/>
          <w:szCs w:val="20"/>
          <w:color w:val="auto"/>
        </w:rPr>
      </w:pPr>
    </w:p>
    <w:p>
      <w:pPr>
        <w:ind w:left="1500" w:hanging="643"/>
        <w:spacing w:after="0"/>
        <w:tabs>
          <w:tab w:leader="none" w:pos="150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Change of Control Offer.</w:t>
      </w:r>
    </w:p>
    <w:p>
      <w:pPr>
        <w:spacing w:after="0" w:line="210" w:lineRule="exact"/>
        <w:rPr>
          <w:sz w:val="20"/>
          <w:szCs w:val="20"/>
          <w:color w:val="auto"/>
        </w:rPr>
      </w:pPr>
    </w:p>
    <w:p>
      <w:pPr>
        <w:jc w:val="both"/>
        <w:ind w:left="200" w:right="219" w:firstLine="648"/>
        <w:spacing w:after="0" w:line="234" w:lineRule="auto"/>
        <w:rPr>
          <w:sz w:val="20"/>
          <w:szCs w:val="20"/>
          <w:color w:val="auto"/>
        </w:rPr>
      </w:pPr>
      <w:r>
        <w:rPr>
          <w:rFonts w:ascii="Times New Roman" w:cs="Times New Roman" w:eastAsia="Times New Roman" w:hAnsi="Times New Roman"/>
          <w:sz w:val="22"/>
          <w:szCs w:val="22"/>
          <w:color w:val="auto"/>
        </w:rPr>
        <w:t>If a Change of Control Triggering Event occurs, unless the Company has exercised its option to redeem the Securities as described in Section 5, the Company shall make an offer (a “Change of Control Offer”) to each Holder of the Securities to repurchase all or any part (equal to $2,000 or an integral multiple of $1,000 in excess thereof) of that Holder’s Securities on the terms set forth herein. In a Change of Control Offer, the Company shall offer payment in cash equal to 101% of the aggregate principal amount of Securities repurchased (a “Change of Control Payment”), plus accrued and unpaid interest, if any, on the Securities repurchased to the date of repurchase, subject to the right of holders of record on the applicable record date to receive interest due on the next Interest Payment Date.</w:t>
      </w:r>
    </w:p>
    <w:p>
      <w:pPr>
        <w:spacing w:after="0" w:line="210" w:lineRule="exact"/>
        <w:rPr>
          <w:sz w:val="20"/>
          <w:szCs w:val="20"/>
          <w:color w:val="auto"/>
        </w:rPr>
      </w:pPr>
    </w:p>
    <w:p>
      <w:pPr>
        <w:jc w:val="both"/>
        <w:ind w:left="200" w:right="239" w:firstLine="648"/>
        <w:spacing w:after="0" w:line="258" w:lineRule="auto"/>
        <w:rPr>
          <w:sz w:val="20"/>
          <w:szCs w:val="20"/>
          <w:color w:val="auto"/>
        </w:rPr>
      </w:pPr>
      <w:r>
        <w:rPr>
          <w:rFonts w:ascii="Times New Roman" w:cs="Times New Roman" w:eastAsia="Times New Roman" w:hAnsi="Times New Roman"/>
          <w:sz w:val="22"/>
          <w:szCs w:val="22"/>
          <w:color w:val="auto"/>
        </w:rPr>
        <w:t>Within 30 days following any Change of Control Triggering Event or, at the Company’s option, prior to any Change of Control, but after public announcement of the transaction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478155</wp:posOffset>
            </wp:positionV>
            <wp:extent cx="545211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60" w:name="page61"/>
    <w:bookmarkEnd w:id="60"/>
    <w:p>
      <w:pPr>
        <w:jc w:val="both"/>
        <w:ind w:left="200" w:right="219"/>
        <w:spacing w:after="0" w:line="235" w:lineRule="auto"/>
        <w:rPr>
          <w:sz w:val="20"/>
          <w:szCs w:val="20"/>
          <w:color w:val="auto"/>
        </w:rPr>
      </w:pPr>
      <w:r>
        <w:rPr>
          <w:rFonts w:ascii="Times New Roman" w:cs="Times New Roman" w:eastAsia="Times New Roman" w:hAnsi="Times New Roman"/>
          <w:sz w:val="22"/>
          <w:szCs w:val="22"/>
          <w:color w:val="auto"/>
        </w:rPr>
        <w:t>constitutes or may constitute the Change of Control, the Company shall mail a notice to Holders of the Securities describing the transaction that constitutes or may constitute the Change of Control Triggering Event and offering to repurchase such Securities on the date specified in the applicable notice, which date shall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Upon the Change of Control Payment Date, the Company shall, to the extent lawful:</w:t>
      </w:r>
    </w:p>
    <w:p>
      <w:pPr>
        <w:spacing w:after="0" w:line="233" w:lineRule="exact"/>
        <w:rPr>
          <w:sz w:val="20"/>
          <w:szCs w:val="20"/>
          <w:color w:val="auto"/>
        </w:rPr>
      </w:pPr>
    </w:p>
    <w:p>
      <w:pPr>
        <w:ind w:left="1500" w:right="219" w:hanging="643"/>
        <w:spacing w:after="0" w:line="258" w:lineRule="auto"/>
        <w:tabs>
          <w:tab w:leader="none" w:pos="117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accept for payment all Securities or portions of Securities properly tendered and not withdrawn pursuant to the Change of Control Offer;</w:t>
      </w:r>
    </w:p>
    <w:p>
      <w:pPr>
        <w:spacing w:after="0" w:line="158" w:lineRule="exact"/>
        <w:rPr>
          <w:rFonts w:ascii="Times New Roman" w:cs="Times New Roman" w:eastAsia="Times New Roman" w:hAnsi="Times New Roman"/>
          <w:sz w:val="18"/>
          <w:szCs w:val="18"/>
          <w:color w:val="auto"/>
        </w:rPr>
      </w:pPr>
    </w:p>
    <w:p>
      <w:pPr>
        <w:ind w:left="1500" w:right="219" w:hanging="643"/>
        <w:spacing w:after="0" w:line="258" w:lineRule="auto"/>
        <w:tabs>
          <w:tab w:leader="none" w:pos="117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deposit with the Paying Agent an amount equal to the Change of Control Payment in respect of all Securities or portions of Securities properly tendered; and</w:t>
      </w:r>
    </w:p>
    <w:p>
      <w:pPr>
        <w:spacing w:after="0" w:line="158" w:lineRule="exact"/>
        <w:rPr>
          <w:rFonts w:ascii="Times New Roman" w:cs="Times New Roman" w:eastAsia="Times New Roman" w:hAnsi="Times New Roman"/>
          <w:sz w:val="18"/>
          <w:szCs w:val="18"/>
          <w:color w:val="auto"/>
        </w:rPr>
      </w:pPr>
    </w:p>
    <w:p>
      <w:pPr>
        <w:ind w:left="1500" w:right="219" w:hanging="643"/>
        <w:spacing w:after="0" w:line="244" w:lineRule="auto"/>
        <w:tabs>
          <w:tab w:leader="none" w:pos="117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deliver or cause to be delivered to the Trustee the Securities properly accepted together with an Officers’ Certificate stating the aggregate principal amount of Securities or portions of Securities being repurchased.</w:t>
      </w:r>
    </w:p>
    <w:p>
      <w:pPr>
        <w:spacing w:after="0" w:line="173"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The Company need not make a Change of Control Offer upon the occurrence of a Change of Control Triggering Event if a third party makes such an offer in the manner, at the times and otherwise in compliance with the requirements for an offer made by the Company and the third party repurchases all Securities properly tendered and not withdrawn under its offer. In addition, the Company shall not repurchase any Securities if there has occurred and is continuing on the Change of Control Payment Date an Event of Default under the Indenture, other than a default in the payment of the Change of Control Payment upon a Change of Control Triggering Event.</w:t>
      </w:r>
    </w:p>
    <w:p>
      <w:pPr>
        <w:spacing w:after="0" w:line="210"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The Company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Securities as a result of a Change of Control Triggering Event. To the extent that the provisions of any securities laws or regulations conflict with the Change of Control Offer provisions of this Security, the Company will comply with those securities laws and regulations and will not be deemed to have breached its obligations under the Change of Control Offer provisions of this Security by virtue of any such conflict.</w:t>
      </w:r>
    </w:p>
    <w:p>
      <w:pPr>
        <w:spacing w:after="0" w:line="205"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For purposes of the Change of Control Offer provisions of the Securities, the following terms are applicable:</w:t>
      </w:r>
    </w:p>
    <w:p>
      <w:pPr>
        <w:spacing w:after="0" w:line="185" w:lineRule="exact"/>
        <w:rPr>
          <w:sz w:val="20"/>
          <w:szCs w:val="20"/>
          <w:color w:val="auto"/>
        </w:rPr>
      </w:pPr>
    </w:p>
    <w:p>
      <w:pPr>
        <w:jc w:val="both"/>
        <w:ind w:left="200" w:right="219" w:firstLine="667"/>
        <w:spacing w:after="0" w:line="249" w:lineRule="auto"/>
        <w:rPr>
          <w:sz w:val="20"/>
          <w:szCs w:val="20"/>
          <w:color w:val="auto"/>
        </w:rPr>
      </w:pPr>
      <w:r>
        <w:rPr>
          <w:rFonts w:ascii="Times New Roman" w:cs="Times New Roman" w:eastAsia="Times New Roman" w:hAnsi="Times New Roman"/>
          <w:sz w:val="21"/>
          <w:szCs w:val="21"/>
          <w:color w:val="auto"/>
        </w:rPr>
        <w:t>“Change of Control” means the occurrence of any of the following: (1) the direct or indirect sale, lease, transfer, conveyance or other disposition (other than by way of merger or consolidation), in one or more series of related transactions, of all or substantially all of the Company’s assets and the assets of its Subsidiaries, taken as a whole, to any person, other than the Company or one of its Subsidiaries; (2) the consummation of any transaction (including, without limitation, any merger or consolidation) the result of which is that any person becomes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61" w:name="page62"/>
    <w:bookmarkEnd w:id="61"/>
    <w:p>
      <w:pPr>
        <w:jc w:val="both"/>
        <w:ind w:left="200" w:right="219"/>
        <w:spacing w:after="0" w:line="233" w:lineRule="auto"/>
        <w:rPr>
          <w:sz w:val="20"/>
          <w:szCs w:val="20"/>
          <w:color w:val="auto"/>
        </w:rPr>
      </w:pPr>
      <w:r>
        <w:rPr>
          <w:rFonts w:ascii="Times New Roman" w:cs="Times New Roman" w:eastAsia="Times New Roman" w:hAnsi="Times New Roman"/>
          <w:sz w:val="22"/>
          <w:szCs w:val="22"/>
          <w:color w:val="auto"/>
        </w:rPr>
        <w:t>beneficial owner (as defined in Rules 13d-3 and 13d-5 under the Exchange Act), directly or indirectly, of more than 50% of the outstanding Voting Stock of the Company or other Voting Stock into which the Company’s Voting Stock is reclassified, consolidated, exchanged or changed, measured by voting power rather than number of shares; (3) the Company consolidates with, or merges with or into, any person, or any person consolidates with, or merges with or into, the Company, in any such event pursuant to a transaction in which any of the outstanding Voting Stock of the Company or the Voting Stock of such other person is converted into or exchanged for cash, securities or other property, other than any such transaction where the shares of the Voting Stock of the Company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or (4) the adoption of a plan relating to the liquidation or dissolution of the Company.</w:t>
      </w:r>
    </w:p>
    <w:p>
      <w:pPr>
        <w:spacing w:after="0" w:line="183" w:lineRule="exact"/>
        <w:rPr>
          <w:sz w:val="20"/>
          <w:szCs w:val="20"/>
          <w:color w:val="auto"/>
        </w:rPr>
      </w:pPr>
    </w:p>
    <w:p>
      <w:pPr>
        <w:jc w:val="both"/>
        <w:ind w:left="200" w:right="219" w:firstLine="667"/>
        <w:spacing w:after="0" w:line="234" w:lineRule="auto"/>
        <w:rPr>
          <w:sz w:val="20"/>
          <w:szCs w:val="20"/>
          <w:color w:val="auto"/>
        </w:rPr>
      </w:pPr>
      <w:r>
        <w:rPr>
          <w:rFonts w:ascii="Times New Roman" w:cs="Times New Roman" w:eastAsia="Times New Roman" w:hAnsi="Times New Roman"/>
          <w:sz w:val="22"/>
          <w:szCs w:val="22"/>
          <w:color w:val="auto"/>
        </w:rPr>
        <w:t>Notwithstanding the preceding, a transaction will not be deemed to involve a Change of Control under clause (2) above if (i) the Company becomes a direct or indirect wholly-owned subsidiary of a holding company and (ii)(A) the direct or indirect holders of the Voting Stock of such holding company immediately following that transaction are substantially the same as the holders of Voting Stock of the Company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183" w:lineRule="exact"/>
        <w:rPr>
          <w:sz w:val="20"/>
          <w:szCs w:val="20"/>
          <w:color w:val="auto"/>
        </w:rPr>
      </w:pPr>
    </w:p>
    <w:p>
      <w:pPr>
        <w:jc w:val="both"/>
        <w:ind w:left="200" w:right="239" w:firstLine="667"/>
        <w:spacing w:after="0" w:line="258" w:lineRule="auto"/>
        <w:rPr>
          <w:sz w:val="20"/>
          <w:szCs w:val="20"/>
          <w:color w:val="auto"/>
        </w:rPr>
      </w:pPr>
      <w:r>
        <w:rPr>
          <w:rFonts w:ascii="Times New Roman" w:cs="Times New Roman" w:eastAsia="Times New Roman" w:hAnsi="Times New Roman"/>
          <w:sz w:val="22"/>
          <w:szCs w:val="22"/>
          <w:color w:val="auto"/>
        </w:rPr>
        <w:t>“Change of Control Triggering Event” means the occurrence of both a Change of Control and a Rating Event.</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“Fitch” means Fitch Inc. and its successors.</w:t>
      </w:r>
    </w:p>
    <w:p>
      <w:pPr>
        <w:spacing w:after="0" w:line="206" w:lineRule="exact"/>
        <w:rPr>
          <w:sz w:val="20"/>
          <w:szCs w:val="20"/>
          <w:color w:val="auto"/>
        </w:rPr>
      </w:pPr>
    </w:p>
    <w:p>
      <w:pPr>
        <w:jc w:val="both"/>
        <w:ind w:left="200" w:right="219" w:firstLine="667"/>
        <w:spacing w:after="0" w:line="239" w:lineRule="auto"/>
        <w:rPr>
          <w:sz w:val="20"/>
          <w:szCs w:val="20"/>
          <w:color w:val="auto"/>
        </w:rPr>
      </w:pPr>
      <w:r>
        <w:rPr>
          <w:rFonts w:ascii="Times New Roman" w:cs="Times New Roman" w:eastAsia="Times New Roman" w:hAnsi="Times New Roman"/>
          <w:sz w:val="22"/>
          <w:szCs w:val="22"/>
          <w:color w:val="auto"/>
        </w:rPr>
        <w:t>“Investment Grade Rating” means a rating equal to or higher than BBB- (or the equivalent) by Fitch, Baa3 (or the equivalent) by Moody’s and BBB- (or the equivalent) by S&amp;P, and the equivalent investment grade credit rating from any replacement Rating Agency or Rating Agencies selected by the Company.</w:t>
      </w:r>
    </w:p>
    <w:p>
      <w:pPr>
        <w:spacing w:after="0" w:line="18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“Moody’s” means Moody’s Investors Service, Inc. and its successors.</w:t>
      </w:r>
    </w:p>
    <w:p>
      <w:pPr>
        <w:spacing w:after="0" w:line="206" w:lineRule="exact"/>
        <w:rPr>
          <w:sz w:val="20"/>
          <w:szCs w:val="20"/>
          <w:color w:val="auto"/>
        </w:rPr>
      </w:pPr>
    </w:p>
    <w:p>
      <w:pPr>
        <w:jc w:val="both"/>
        <w:ind w:left="200" w:right="219" w:firstLine="667"/>
        <w:spacing w:after="0" w:line="236" w:lineRule="auto"/>
        <w:rPr>
          <w:sz w:val="20"/>
          <w:szCs w:val="20"/>
          <w:color w:val="auto"/>
        </w:rPr>
      </w:pPr>
      <w:r>
        <w:rPr>
          <w:rFonts w:ascii="Times New Roman" w:cs="Times New Roman" w:eastAsia="Times New Roman" w:hAnsi="Times New Roman"/>
          <w:sz w:val="22"/>
          <w:szCs w:val="22"/>
          <w:color w:val="auto"/>
        </w:rPr>
        <w:t>“Rating Agencies” means (1) each of Fitch, Moody’s and S&amp;P and (2) if any of Fitch, Moody’s or S&amp;P ceases to rate the Securities or fails to make a rating of the Securities publicly available for reasons outside of the Company’s control, a “nationally recognized statistical rating organization” within the meaning of Section 3(a)(62) of the Exchange Act selected by the Company (as certified by a resolution of the Board of Directors of the Company) as a replacement agency for Fitch, Moody’s or S&amp;P, or all of them, as the case may be.</w:t>
      </w:r>
    </w:p>
    <w:p>
      <w:pPr>
        <w:spacing w:after="0" w:line="181" w:lineRule="exact"/>
        <w:rPr>
          <w:sz w:val="20"/>
          <w:szCs w:val="20"/>
          <w:color w:val="auto"/>
        </w:rPr>
      </w:pPr>
    </w:p>
    <w:p>
      <w:pPr>
        <w:jc w:val="both"/>
        <w:ind w:left="200" w:right="219" w:firstLine="667"/>
        <w:spacing w:after="0" w:line="255" w:lineRule="auto"/>
        <w:rPr>
          <w:sz w:val="20"/>
          <w:szCs w:val="20"/>
          <w:color w:val="auto"/>
        </w:rPr>
      </w:pPr>
      <w:r>
        <w:rPr>
          <w:rFonts w:ascii="Times New Roman" w:cs="Times New Roman" w:eastAsia="Times New Roman" w:hAnsi="Times New Roman"/>
          <w:sz w:val="21"/>
          <w:szCs w:val="21"/>
          <w:color w:val="auto"/>
        </w:rPr>
        <w:t>“Rating Event” means the rating on the Securities is lowered by at least two of the three Rating Agencies and the Securities are rated below an Investment Grade Rating by at least two of the three Rating Agencies, in any case on any day during the period (which period will be extended so long as the rating of the Securities is under publicly announced consideration for a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480060</wp:posOffset>
            </wp:positionV>
            <wp:extent cx="545211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62" w:name="page63"/>
    <w:bookmarkEnd w:id="62"/>
    <w:p>
      <w:pPr>
        <w:jc w:val="both"/>
        <w:ind w:left="200" w:right="219"/>
        <w:spacing w:after="0" w:line="244" w:lineRule="auto"/>
        <w:rPr>
          <w:sz w:val="20"/>
          <w:szCs w:val="20"/>
          <w:color w:val="auto"/>
        </w:rPr>
      </w:pPr>
      <w:r>
        <w:rPr>
          <w:rFonts w:ascii="Times New Roman" w:cs="Times New Roman" w:eastAsia="Times New Roman" w:hAnsi="Times New Roman"/>
          <w:sz w:val="22"/>
          <w:szCs w:val="22"/>
          <w:color w:val="auto"/>
        </w:rPr>
        <w:t>downgrade by any of the rating agencies) commencing 60 days prior to the first public notice of the occurrence of a Change of Control or the Company’s intention to effect a Change of Control and ending 60 days following consummation of such Change of Control.</w:t>
      </w:r>
    </w:p>
    <w:p>
      <w:pPr>
        <w:spacing w:after="0" w:line="17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“S&amp;P” means S&amp;P Global Ratings, a division of S&amp;P Global Inc., and its successors.</w:t>
      </w:r>
    </w:p>
    <w:p>
      <w:pPr>
        <w:spacing w:after="0" w:line="206" w:lineRule="exact"/>
        <w:rPr>
          <w:sz w:val="20"/>
          <w:szCs w:val="20"/>
          <w:color w:val="auto"/>
        </w:rPr>
      </w:pPr>
    </w:p>
    <w:p>
      <w:pPr>
        <w:jc w:val="both"/>
        <w:ind w:left="200" w:right="219" w:firstLine="667"/>
        <w:spacing w:after="0" w:line="244" w:lineRule="auto"/>
        <w:rPr>
          <w:sz w:val="20"/>
          <w:szCs w:val="20"/>
          <w:color w:val="auto"/>
        </w:rPr>
      </w:pPr>
      <w:r>
        <w:rPr>
          <w:rFonts w:ascii="Times New Roman" w:cs="Times New Roman" w:eastAsia="Times New Roman" w:hAnsi="Times New Roman"/>
          <w:sz w:val="22"/>
          <w:szCs w:val="22"/>
          <w:color w:val="auto"/>
        </w:rPr>
        <w:t>“Voting Stock”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169" w:lineRule="exact"/>
        <w:rPr>
          <w:sz w:val="20"/>
          <w:szCs w:val="20"/>
          <w:color w:val="auto"/>
        </w:rPr>
      </w:pPr>
    </w:p>
    <w:p>
      <w:pPr>
        <w:ind w:left="1500" w:hanging="643"/>
        <w:spacing w:after="0"/>
        <w:tabs>
          <w:tab w:leader="none" w:pos="150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Denominations; Transfer; Exchange.</w:t>
      </w:r>
    </w:p>
    <w:p>
      <w:pPr>
        <w:spacing w:after="0" w:line="210" w:lineRule="exact"/>
        <w:rPr>
          <w:sz w:val="20"/>
          <w:szCs w:val="20"/>
          <w:color w:val="auto"/>
        </w:rPr>
      </w:pPr>
    </w:p>
    <w:p>
      <w:pPr>
        <w:jc w:val="both"/>
        <w:ind w:left="200" w:right="219" w:firstLine="667"/>
        <w:spacing w:after="0" w:line="238" w:lineRule="auto"/>
        <w:rPr>
          <w:sz w:val="20"/>
          <w:szCs w:val="20"/>
          <w:color w:val="auto"/>
        </w:rPr>
      </w:pPr>
      <w:r>
        <w:rPr>
          <w:rFonts w:ascii="Times New Roman" w:cs="Times New Roman" w:eastAsia="Times New Roman" w:hAnsi="Times New Roman"/>
          <w:sz w:val="22"/>
          <w:szCs w:val="22"/>
          <w:color w:val="auto"/>
        </w:rPr>
        <w:t>The Securities are issued in registered form, without coupons, in a minimum denomination of $2,000 and integral multiples of $1,000 in excess thereof. A Holder may register the transfer of, or exchange, Securities in accordance with the Indenture. The Securities Registrar may require a Holder, among other things, to furnish appropriate endorsements and transfer documents and to pay any taxes and fees required by law or permitted by the Indenture.</w:t>
      </w:r>
    </w:p>
    <w:p>
      <w:pPr>
        <w:spacing w:after="0" w:line="173" w:lineRule="exact"/>
        <w:rPr>
          <w:sz w:val="20"/>
          <w:szCs w:val="20"/>
          <w:color w:val="auto"/>
        </w:rPr>
      </w:pPr>
    </w:p>
    <w:p>
      <w:pPr>
        <w:ind w:left="1500" w:hanging="643"/>
        <w:spacing w:after="0"/>
        <w:tabs>
          <w:tab w:leader="none" w:pos="150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Person Deemed Owners.</w:t>
      </w:r>
    </w:p>
    <w:p>
      <w:pPr>
        <w:spacing w:after="0" w:line="21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The registered Holder of a Security may be treated as the owner of it for all purposes.</w:t>
      </w:r>
    </w:p>
    <w:p>
      <w:pPr>
        <w:spacing w:after="0" w:line="202" w:lineRule="exact"/>
        <w:rPr>
          <w:sz w:val="20"/>
          <w:szCs w:val="20"/>
          <w:color w:val="auto"/>
        </w:rPr>
      </w:pPr>
    </w:p>
    <w:p>
      <w:pPr>
        <w:ind w:left="1500" w:hanging="643"/>
        <w:spacing w:after="0"/>
        <w:tabs>
          <w:tab w:leader="none" w:pos="150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Amendment; Supplement; Waiver.</w:t>
      </w:r>
    </w:p>
    <w:p>
      <w:pPr>
        <w:spacing w:after="0" w:line="210" w:lineRule="exact"/>
        <w:rPr>
          <w:sz w:val="20"/>
          <w:szCs w:val="20"/>
          <w:color w:val="auto"/>
        </w:rPr>
      </w:pPr>
    </w:p>
    <w:p>
      <w:pPr>
        <w:jc w:val="both"/>
        <w:ind w:left="200" w:right="219" w:firstLine="667"/>
        <w:spacing w:after="0" w:line="233" w:lineRule="auto"/>
        <w:rPr>
          <w:sz w:val="20"/>
          <w:szCs w:val="20"/>
          <w:color w:val="auto"/>
        </w:rPr>
      </w:pPr>
      <w:r>
        <w:rPr>
          <w:rFonts w:ascii="Times New Roman" w:cs="Times New Roman" w:eastAsia="Times New Roman" w:hAnsi="Times New Roman"/>
          <w:sz w:val="22"/>
          <w:szCs w:val="22"/>
          <w:color w:val="auto"/>
        </w:rPr>
        <w:t>Subject to certain exceptions, the Indenture may be amended or supplemented, and any existing Event of Default or compliance with any provision may be waived, with the consent of the Holders of a majority in principal amount of the Outstanding Debt Securities of each series affected. Without consent of any Holder, the parties thereto may amend or supplement the Indenture or the Securities to, among other things, cure any ambiguity, defect or inconsistency, or make any other change that does not adversely affect the interests of any Holder of a Security in any material respect. Any such consent or waiver by the Holder of this Security (unless revoked as provided in the Indenture) shall be conclusive and binding upon such Holder and upon all future Holders and owners of this Security and any Securities which may be issued in exchange or substitution herefor, irrespective of whether or not any notation thereof is made upon this Security or such other Securities.</w:t>
      </w:r>
    </w:p>
    <w:p>
      <w:pPr>
        <w:spacing w:after="0" w:line="183" w:lineRule="exact"/>
        <w:rPr>
          <w:sz w:val="20"/>
          <w:szCs w:val="20"/>
          <w:color w:val="auto"/>
        </w:rPr>
      </w:pPr>
    </w:p>
    <w:p>
      <w:pPr>
        <w:ind w:left="1500" w:hanging="643"/>
        <w:spacing w:after="0"/>
        <w:tabs>
          <w:tab w:leader="none" w:pos="150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Defaults and Remedies.</w:t>
      </w:r>
    </w:p>
    <w:p>
      <w:pPr>
        <w:spacing w:after="0" w:line="210" w:lineRule="exact"/>
        <w:rPr>
          <w:sz w:val="20"/>
          <w:szCs w:val="20"/>
          <w:color w:val="auto"/>
        </w:rPr>
      </w:pPr>
    </w:p>
    <w:p>
      <w:pPr>
        <w:jc w:val="both"/>
        <w:ind w:left="200" w:right="219" w:firstLine="667"/>
        <w:spacing w:after="0" w:line="246" w:lineRule="auto"/>
        <w:rPr>
          <w:sz w:val="20"/>
          <w:szCs w:val="20"/>
          <w:color w:val="auto"/>
        </w:rPr>
      </w:pPr>
      <w:r>
        <w:rPr>
          <w:rFonts w:ascii="Times New Roman" w:cs="Times New Roman" w:eastAsia="Times New Roman" w:hAnsi="Times New Roman"/>
          <w:sz w:val="21"/>
          <w:szCs w:val="21"/>
          <w:color w:val="auto"/>
        </w:rPr>
        <w:t>If an Event of Default with respect to the Securities occurs and is continuing, then in every such case the Trustee or the Holders of not less than 25% in principal amount of the Securities then Outstanding may declare the principal amount of all the Securities to be due and payable immediately in the manner and with the effect provided in the Indenture. Notwithstanding the preceding sentence, however, if at any time after such a declaration of acceleration has been made and before judgment or decree for payment of the money due has been obtained by the Trustee as provided in the Indenture, the Holders of a majority in principal amount of the Outstanding Securities, by written notice to the Company and to the Trustee, may rescind and annul such declaration and its consequences if (1) the Company has paid or deposited with the Trustee a sum sufficient to pay (A) all overdue interest on all Securities, (B) the principal of (and premium,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63" w:name="page64"/>
    <w:bookmarkEnd w:id="63"/>
    <w:p>
      <w:pPr>
        <w:jc w:val="both"/>
        <w:ind w:left="200" w:right="219"/>
        <w:spacing w:after="0" w:line="233" w:lineRule="auto"/>
        <w:rPr>
          <w:sz w:val="20"/>
          <w:szCs w:val="20"/>
          <w:color w:val="auto"/>
        </w:rPr>
      </w:pPr>
      <w:r>
        <w:rPr>
          <w:rFonts w:ascii="Times New Roman" w:cs="Times New Roman" w:eastAsia="Times New Roman" w:hAnsi="Times New Roman"/>
          <w:sz w:val="22"/>
          <w:szCs w:val="22"/>
          <w:color w:val="auto"/>
        </w:rPr>
        <w:t>any, on) any Securities which has become due otherwise than by such declaration of acceleration and any interest thereon at the rate prescribed therefor herein, (C) to the extent that payment of such interest is lawful, interest upon overdue interest at the rate prescribed therefor herein, and (D) all sums paid or advanced by the Trustee and the reasonable compensation, expenses, disbursements and advances of the Trustee, its agents and counsel and (2) all Events of Default under the Indenture with respect to the Securities, other than the nonpayment of the principal of Securities which has become due solely by such declaration acceleration, shall have been cured or shall have been waived. No such rescission shall affect any subsequent Event of Default or shall impair any right consequent thereon. Holders of Securities may not enforce the Indenture or the Securities except as provided in the Indenture. The Trustee may require indemnity satisfactory to it before it enforces the Indenture or the Securities. Subject to certain limitations, Holders of a majority in aggregate principal amount of the Securities then outstanding may direct the Trustee in its exercise of any trust or power.</w:t>
      </w:r>
    </w:p>
    <w:p>
      <w:pPr>
        <w:spacing w:after="0" w:line="179" w:lineRule="exact"/>
        <w:rPr>
          <w:sz w:val="20"/>
          <w:szCs w:val="20"/>
          <w:color w:val="auto"/>
        </w:rPr>
      </w:pPr>
    </w:p>
    <w:p>
      <w:pPr>
        <w:ind w:left="1500" w:hanging="643"/>
        <w:spacing w:after="0"/>
        <w:tabs>
          <w:tab w:leader="none" w:pos="150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Trustee Dealings with Company.</w:t>
      </w:r>
    </w:p>
    <w:p>
      <w:pPr>
        <w:spacing w:after="0" w:line="210" w:lineRule="exact"/>
        <w:rPr>
          <w:sz w:val="20"/>
          <w:szCs w:val="20"/>
          <w:color w:val="auto"/>
        </w:rPr>
      </w:pPr>
    </w:p>
    <w:p>
      <w:pPr>
        <w:jc w:val="both"/>
        <w:ind w:left="200" w:right="219" w:firstLine="667"/>
        <w:spacing w:after="0" w:line="239" w:lineRule="auto"/>
        <w:rPr>
          <w:sz w:val="20"/>
          <w:szCs w:val="20"/>
          <w:color w:val="auto"/>
        </w:rPr>
      </w:pPr>
      <w:r>
        <w:rPr>
          <w:rFonts w:ascii="Times New Roman" w:cs="Times New Roman" w:eastAsia="Times New Roman" w:hAnsi="Times New Roman"/>
          <w:sz w:val="22"/>
          <w:szCs w:val="22"/>
          <w:color w:val="auto"/>
        </w:rPr>
        <w:t>The Trustee under the Indenture, in its individual or any other capacity, may make loans to, accept deposits from, and perform services for the Company and its Affiliates and any subsidiary of the Company’s Affiliates, and may otherwise deal with the Company and its Affiliates as if it were not the Trustee.</w:t>
      </w:r>
    </w:p>
    <w:p>
      <w:pPr>
        <w:spacing w:after="0" w:line="176" w:lineRule="exact"/>
        <w:rPr>
          <w:sz w:val="20"/>
          <w:szCs w:val="20"/>
          <w:color w:val="auto"/>
        </w:rPr>
      </w:pPr>
    </w:p>
    <w:p>
      <w:pPr>
        <w:ind w:left="1500" w:hanging="643"/>
        <w:spacing w:after="0"/>
        <w:tabs>
          <w:tab w:leader="none" w:pos="150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Authentication.</w:t>
      </w:r>
    </w:p>
    <w:p>
      <w:pPr>
        <w:spacing w:after="0" w:line="210" w:lineRule="exact"/>
        <w:rPr>
          <w:sz w:val="20"/>
          <w:szCs w:val="20"/>
          <w:color w:val="auto"/>
        </w:rPr>
      </w:pPr>
    </w:p>
    <w:p>
      <w:pPr>
        <w:ind w:left="200" w:right="219" w:firstLine="667"/>
        <w:spacing w:after="0" w:line="258" w:lineRule="auto"/>
        <w:rPr>
          <w:sz w:val="20"/>
          <w:szCs w:val="20"/>
          <w:color w:val="auto"/>
        </w:rPr>
      </w:pPr>
      <w:r>
        <w:rPr>
          <w:rFonts w:ascii="Times New Roman" w:cs="Times New Roman" w:eastAsia="Times New Roman" w:hAnsi="Times New Roman"/>
          <w:sz w:val="22"/>
          <w:szCs w:val="22"/>
          <w:color w:val="auto"/>
        </w:rPr>
        <w:t>This Security shall not be valid until the Trustee or authenticating agent signs the certificate of authentication on the other side of this Security.</w:t>
      </w:r>
    </w:p>
    <w:p>
      <w:pPr>
        <w:spacing w:after="0" w:line="154" w:lineRule="exact"/>
        <w:rPr>
          <w:sz w:val="20"/>
          <w:szCs w:val="20"/>
          <w:color w:val="auto"/>
        </w:rPr>
      </w:pPr>
    </w:p>
    <w:p>
      <w:pPr>
        <w:ind w:left="1500" w:hanging="643"/>
        <w:spacing w:after="0"/>
        <w:tabs>
          <w:tab w:leader="none" w:pos="150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Abbreviations and Defined Terms.</w:t>
      </w:r>
    </w:p>
    <w:p>
      <w:pPr>
        <w:spacing w:after="0" w:line="210" w:lineRule="exact"/>
        <w:rPr>
          <w:sz w:val="20"/>
          <w:szCs w:val="20"/>
          <w:color w:val="auto"/>
        </w:rPr>
      </w:pPr>
    </w:p>
    <w:p>
      <w:pPr>
        <w:jc w:val="both"/>
        <w:ind w:left="200" w:right="219" w:firstLine="667"/>
        <w:spacing w:after="0" w:line="239" w:lineRule="auto"/>
        <w:rPr>
          <w:sz w:val="20"/>
          <w:szCs w:val="20"/>
          <w:color w:val="auto"/>
        </w:rPr>
      </w:pPr>
      <w:r>
        <w:rPr>
          <w:rFonts w:ascii="Times New Roman" w:cs="Times New Roman" w:eastAsia="Times New Roman" w:hAnsi="Times New Roman"/>
          <w:sz w:val="22"/>
          <w:szCs w:val="22"/>
          <w:color w:val="auto"/>
        </w:rPr>
        <w:t>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w:t>
      </w:r>
    </w:p>
    <w:p>
      <w:pPr>
        <w:spacing w:after="0" w:line="176" w:lineRule="exact"/>
        <w:rPr>
          <w:sz w:val="20"/>
          <w:szCs w:val="20"/>
          <w:color w:val="auto"/>
        </w:rPr>
      </w:pPr>
    </w:p>
    <w:p>
      <w:pPr>
        <w:ind w:left="1500" w:hanging="643"/>
        <w:spacing w:after="0"/>
        <w:tabs>
          <w:tab w:leader="none" w:pos="150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CUSIP Numbers.</w:t>
      </w:r>
    </w:p>
    <w:p>
      <w:pPr>
        <w:spacing w:after="0" w:line="210" w:lineRule="exact"/>
        <w:rPr>
          <w:sz w:val="20"/>
          <w:szCs w:val="20"/>
          <w:color w:val="auto"/>
        </w:rPr>
      </w:pPr>
    </w:p>
    <w:p>
      <w:pPr>
        <w:jc w:val="both"/>
        <w:ind w:left="200" w:right="219" w:firstLine="667"/>
        <w:spacing w:after="0" w:line="238" w:lineRule="auto"/>
        <w:rPr>
          <w:sz w:val="20"/>
          <w:szCs w:val="20"/>
          <w:color w:val="auto"/>
        </w:rPr>
      </w:pPr>
      <w:r>
        <w:rPr>
          <w:rFonts w:ascii="Times New Roman" w:cs="Times New Roman" w:eastAsia="Times New Roman" w:hAnsi="Times New Roman"/>
          <w:sz w:val="22"/>
          <w:szCs w:val="22"/>
          <w:color w:val="auto"/>
        </w:rPr>
        <w:t>Pursuant to a recommendation promulgated by the Committee on Uniform Note Identification Procedures, the Company has caused CUSIP numbers to be printed on the Securities as a convenience to the Holders of the Securities. No representation is made as to the accuracy of such number as printed on the Securities and reliance may be placed only on the other identification numbers printed hereon.</w:t>
      </w:r>
    </w:p>
    <w:p>
      <w:pPr>
        <w:spacing w:after="0" w:line="173" w:lineRule="exact"/>
        <w:rPr>
          <w:sz w:val="20"/>
          <w:szCs w:val="20"/>
          <w:color w:val="auto"/>
        </w:rPr>
      </w:pPr>
    </w:p>
    <w:p>
      <w:pPr>
        <w:ind w:left="1500" w:hanging="643"/>
        <w:spacing w:after="0"/>
        <w:tabs>
          <w:tab w:leader="none" w:pos="150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Absolute Obligation.</w:t>
      </w:r>
    </w:p>
    <w:p>
      <w:pPr>
        <w:spacing w:after="0" w:line="210" w:lineRule="exact"/>
        <w:rPr>
          <w:sz w:val="20"/>
          <w:szCs w:val="20"/>
          <w:color w:val="auto"/>
        </w:rPr>
      </w:pPr>
    </w:p>
    <w:p>
      <w:pPr>
        <w:jc w:val="both"/>
        <w:ind w:left="200" w:right="219" w:firstLine="667"/>
        <w:spacing w:after="0" w:line="239" w:lineRule="auto"/>
        <w:rPr>
          <w:sz w:val="20"/>
          <w:szCs w:val="20"/>
          <w:color w:val="auto"/>
        </w:rPr>
      </w:pPr>
      <w:r>
        <w:rPr>
          <w:rFonts w:ascii="Times New Roman" w:cs="Times New Roman" w:eastAsia="Times New Roman" w:hAnsi="Times New Roman"/>
          <w:sz w:val="22"/>
          <w:szCs w:val="22"/>
          <w:color w:val="auto"/>
        </w:rPr>
        <w:t>No reference herein to the Indenture and no provision of this Security or the Indenture shall alter or impair the obligation of the Company, which is absolute and unconditional, to pay the principal of, premium, if any, and interest on this Security in the manner, at the respective times, at the rate and in the coin or currency herein prescribed.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629285</wp:posOffset>
            </wp:positionV>
            <wp:extent cx="545211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64" w:name="page65"/>
    <w:bookmarkEnd w:id="64"/>
    <w:p>
      <w:pPr>
        <w:ind w:left="1500" w:hanging="643"/>
        <w:spacing w:after="0"/>
        <w:tabs>
          <w:tab w:leader="none" w:pos="150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Recourse.</w:t>
      </w:r>
    </w:p>
    <w:p>
      <w:pPr>
        <w:spacing w:after="0" w:line="209" w:lineRule="exact"/>
        <w:rPr>
          <w:sz w:val="20"/>
          <w:szCs w:val="20"/>
          <w:color w:val="auto"/>
        </w:rPr>
      </w:pPr>
    </w:p>
    <w:p>
      <w:pPr>
        <w:jc w:val="both"/>
        <w:ind w:left="200" w:right="219" w:firstLine="667"/>
        <w:spacing w:after="0" w:line="235" w:lineRule="auto"/>
        <w:rPr>
          <w:sz w:val="20"/>
          <w:szCs w:val="20"/>
          <w:color w:val="auto"/>
        </w:rPr>
      </w:pPr>
      <w:r>
        <w:rPr>
          <w:rFonts w:ascii="Times New Roman" w:cs="Times New Roman" w:eastAsia="Times New Roman" w:hAnsi="Times New Roman"/>
          <w:sz w:val="22"/>
          <w:szCs w:val="22"/>
          <w:color w:val="auto"/>
        </w:rPr>
        <w:t>No recourse under or upon any obligation, covenant or agreement contained in the Indenture or in any Security, or because of any indebtedness evidenced thereby, shall be had against any incorporator, past, present or future stockholder, officer or director, as such of the Company or of any successor, either directly or through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Security by the Holder and as part of the consideration for the issue of the Security.</w:t>
      </w:r>
    </w:p>
    <w:p>
      <w:pPr>
        <w:spacing w:after="0" w:line="174" w:lineRule="exact"/>
        <w:rPr>
          <w:sz w:val="20"/>
          <w:szCs w:val="20"/>
          <w:color w:val="auto"/>
        </w:rPr>
      </w:pPr>
    </w:p>
    <w:p>
      <w:pPr>
        <w:ind w:left="1500" w:hanging="643"/>
        <w:spacing w:after="0"/>
        <w:tabs>
          <w:tab w:leader="none" w:pos="150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Governing Law.</w:t>
      </w:r>
    </w:p>
    <w:p>
      <w:pPr>
        <w:spacing w:after="0" w:line="210" w:lineRule="exact"/>
        <w:rPr>
          <w:sz w:val="20"/>
          <w:szCs w:val="20"/>
          <w:color w:val="auto"/>
        </w:rPr>
      </w:pPr>
    </w:p>
    <w:p>
      <w:pPr>
        <w:ind w:left="200" w:right="219" w:firstLine="667"/>
        <w:spacing w:after="0" w:line="258" w:lineRule="auto"/>
        <w:rPr>
          <w:sz w:val="20"/>
          <w:szCs w:val="20"/>
          <w:color w:val="auto"/>
        </w:rPr>
      </w:pPr>
      <w:r>
        <w:rPr>
          <w:rFonts w:ascii="Times New Roman" w:cs="Times New Roman" w:eastAsia="Times New Roman" w:hAnsi="Times New Roman"/>
          <w:sz w:val="22"/>
          <w:szCs w:val="22"/>
          <w:color w:val="auto"/>
        </w:rPr>
        <w:t>This Security shall be construed in accordance with and governed by the laws of the State of New York.</w:t>
      </w:r>
    </w:p>
    <w:p>
      <w:pPr>
        <w:spacing w:after="0" w:line="154" w:lineRule="exact"/>
        <w:rPr>
          <w:sz w:val="20"/>
          <w:szCs w:val="20"/>
          <w:color w:val="auto"/>
        </w:rPr>
      </w:pPr>
    </w:p>
    <w:p>
      <w:pPr>
        <w:ind w:left="1500" w:hanging="643"/>
        <w:spacing w:after="0"/>
        <w:tabs>
          <w:tab w:leader="none" w:pos="150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Guarantee.</w:t>
      </w:r>
    </w:p>
    <w:p>
      <w:pPr>
        <w:spacing w:after="0" w:line="210" w:lineRule="exact"/>
        <w:rPr>
          <w:sz w:val="20"/>
          <w:szCs w:val="20"/>
          <w:color w:val="auto"/>
        </w:rPr>
      </w:pPr>
    </w:p>
    <w:p>
      <w:pPr>
        <w:jc w:val="both"/>
        <w:ind w:left="200" w:right="219" w:firstLine="667"/>
        <w:spacing w:after="0" w:line="235" w:lineRule="auto"/>
        <w:rPr>
          <w:sz w:val="20"/>
          <w:szCs w:val="20"/>
          <w:color w:val="auto"/>
        </w:rPr>
      </w:pPr>
      <w:r>
        <w:rPr>
          <w:rFonts w:ascii="Times New Roman" w:cs="Times New Roman" w:eastAsia="Times New Roman" w:hAnsi="Times New Roman"/>
          <w:sz w:val="22"/>
          <w:szCs w:val="22"/>
          <w:color w:val="auto"/>
        </w:rPr>
        <w:t>The Securities will be fully and unconditionally guaranteed on a senior basis by the Company’s wholly owned subsidiary, Waste Management Holdings, Inc., pursuant to the terms and conditions of a Guarantee, dated as of July 3, 2024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Securities until release thereof as set forth in Section 6 of the Guarantee.</w:t>
      </w:r>
    </w:p>
    <w:p>
      <w:pPr>
        <w:spacing w:after="0" w:line="179" w:lineRule="exact"/>
        <w:rPr>
          <w:sz w:val="20"/>
          <w:szCs w:val="20"/>
          <w:color w:val="auto"/>
        </w:rPr>
      </w:pPr>
    </w:p>
    <w:p>
      <w:pPr>
        <w:ind w:left="1500" w:hanging="625"/>
        <w:spacing w:after="0"/>
        <w:tabs>
          <w:tab w:leader="none" w:pos="150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Satisfaction and Discharge.</w:t>
      </w:r>
    </w:p>
    <w:p>
      <w:pPr>
        <w:spacing w:after="0" w:line="210" w:lineRule="exact"/>
        <w:rPr>
          <w:sz w:val="20"/>
          <w:szCs w:val="20"/>
          <w:color w:val="auto"/>
        </w:rPr>
      </w:pPr>
    </w:p>
    <w:p>
      <w:pPr>
        <w:jc w:val="both"/>
        <w:ind w:left="200" w:right="219" w:firstLine="667"/>
        <w:spacing w:after="0" w:line="235" w:lineRule="auto"/>
        <w:rPr>
          <w:sz w:val="20"/>
          <w:szCs w:val="20"/>
          <w:color w:val="auto"/>
        </w:rPr>
      </w:pPr>
      <w:r>
        <w:rPr>
          <w:rFonts w:ascii="Times New Roman" w:cs="Times New Roman" w:eastAsia="Times New Roman" w:hAnsi="Times New Roman"/>
          <w:sz w:val="22"/>
          <w:szCs w:val="22"/>
          <w:color w:val="auto"/>
        </w:rPr>
        <w:t>The Securities will be subject to Section 401 of the Indenture; provided, however, that solely with respect to the Securities, the following sentence shall be added to the end of Section 401(1)(B) of the Indenture: “(provided that, upon any redemption that requires the payment of any make-whole or other premium, (x) the amount of cash that must be deposited shall be determined using an assumed applicable premium calculated as of the date of such deposit and (y) the Company shall deposit any deficit in trust on or prior to the Redemption Date as necessary to pay the applicable premium as determined by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1214120</wp:posOffset>
            </wp:positionV>
            <wp:extent cx="545211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65" w:name="page66"/>
    <w:bookmarkEnd w:id="65"/>
    <w:p>
      <w:pPr>
        <w:jc w:val="center"/>
        <w:ind w:right="19"/>
        <w:spacing w:after="0"/>
        <w:rPr>
          <w:sz w:val="20"/>
          <w:szCs w:val="20"/>
          <w:color w:val="auto"/>
        </w:rPr>
      </w:pPr>
      <w:r>
        <w:rPr>
          <w:rFonts w:ascii="Times New Roman" w:cs="Times New Roman" w:eastAsia="Times New Roman" w:hAnsi="Times New Roman"/>
          <w:sz w:val="22"/>
          <w:szCs w:val="22"/>
          <w:color w:val="auto"/>
        </w:rPr>
        <w:t>SCHEDULE OF EXCHANGES OF DEFINITIVE SECURITY</w:t>
      </w:r>
    </w:p>
    <w:p>
      <w:pPr>
        <w:spacing w:after="0" w:line="207" w:lineRule="exact"/>
        <w:rPr>
          <w:sz w:val="20"/>
          <w:szCs w:val="20"/>
          <w:color w:val="auto"/>
        </w:rPr>
      </w:pPr>
    </w:p>
    <w:p>
      <w:pPr>
        <w:ind w:left="200" w:right="219" w:firstLine="667"/>
        <w:spacing w:after="0" w:line="258" w:lineRule="auto"/>
        <w:rPr>
          <w:sz w:val="20"/>
          <w:szCs w:val="20"/>
          <w:color w:val="auto"/>
        </w:rPr>
      </w:pPr>
      <w:r>
        <w:rPr>
          <w:rFonts w:ascii="Times New Roman" w:cs="Times New Roman" w:eastAsia="Times New Roman" w:hAnsi="Times New Roman"/>
          <w:sz w:val="22"/>
          <w:szCs w:val="22"/>
          <w:color w:val="auto"/>
        </w:rPr>
        <w:t>The following exchanges of a part of this Book-Entry Security for definitive Securities have been made:</w:t>
      </w:r>
    </w:p>
    <w:p>
      <w:pPr>
        <w:spacing w:after="0" w:line="200" w:lineRule="exact"/>
        <w:rPr>
          <w:sz w:val="20"/>
          <w:szCs w:val="20"/>
          <w:color w:val="auto"/>
        </w:rPr>
      </w:pPr>
    </w:p>
    <w:p>
      <w:pPr>
        <w:spacing w:after="0" w:line="395"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 decrease</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 increase</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Amount</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Principal</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Principal</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 this Book-Entry</w:t>
            </w:r>
          </w:p>
        </w:tc>
        <w:tc>
          <w:tcPr>
            <w:tcW w:w="1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Signature of</w:t>
            </w: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 this</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Amount of this</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Security following</w:t>
            </w:r>
          </w:p>
        </w:tc>
        <w:tc>
          <w:tcPr>
            <w:tcW w:w="1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authorized officer</w:t>
            </w: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Book-Entry</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Book-Entry</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such decrease (or</w:t>
            </w:r>
          </w:p>
        </w:tc>
        <w:tc>
          <w:tcPr>
            <w:tcW w:w="1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of Trustee or</w:t>
            </w:r>
          </w:p>
        </w:tc>
        <w:tc>
          <w:tcPr>
            <w:tcW w:w="60" w:type="dxa"/>
            <w:vAlign w:val="bottom"/>
          </w:tcPr>
          <w:p>
            <w:pPr>
              <w:spacing w:after="0"/>
              <w:rPr>
                <w:sz w:val="18"/>
                <w:szCs w:val="18"/>
                <w:color w:val="auto"/>
              </w:rPr>
            </w:pPr>
          </w:p>
        </w:tc>
      </w:tr>
      <w:tr>
        <w:trPr>
          <w:trHeight w:val="245"/>
        </w:trPr>
        <w:tc>
          <w:tcPr>
            <w:tcW w:w="80" w:type="dxa"/>
            <w:vAlign w:val="bottom"/>
          </w:tcPr>
          <w:p>
            <w:pPr>
              <w:spacing w:after="0"/>
              <w:rPr>
                <w:sz w:val="21"/>
                <w:szCs w:val="21"/>
                <w:color w:val="auto"/>
              </w:rPr>
            </w:pPr>
          </w:p>
        </w:tc>
        <w:tc>
          <w:tcPr>
            <w:tcW w:w="15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Date of Exchange</w:t>
            </w:r>
          </w:p>
        </w:tc>
        <w:tc>
          <w:tcPr>
            <w:tcW w:w="180" w:type="dxa"/>
            <w:vAlign w:val="bottom"/>
          </w:tcPr>
          <w:p>
            <w:pPr>
              <w:spacing w:after="0"/>
              <w:rPr>
                <w:sz w:val="21"/>
                <w:szCs w:val="21"/>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180" w:type="dxa"/>
            <w:vAlign w:val="bottom"/>
          </w:tcPr>
          <w:p>
            <w:pPr>
              <w:spacing w:after="0"/>
              <w:rPr>
                <w:sz w:val="21"/>
                <w:szCs w:val="21"/>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180" w:type="dxa"/>
            <w:vAlign w:val="bottom"/>
          </w:tcPr>
          <w:p>
            <w:pPr>
              <w:spacing w:after="0"/>
              <w:rPr>
                <w:sz w:val="21"/>
                <w:szCs w:val="21"/>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increase)</w:t>
            </w:r>
          </w:p>
        </w:tc>
        <w:tc>
          <w:tcPr>
            <w:tcW w:w="180" w:type="dxa"/>
            <w:vAlign w:val="bottom"/>
          </w:tcPr>
          <w:p>
            <w:pPr>
              <w:spacing w:after="0"/>
              <w:rPr>
                <w:sz w:val="21"/>
                <w:szCs w:val="21"/>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Security Custodian</w:t>
            </w:r>
          </w:p>
        </w:tc>
        <w:tc>
          <w:tcPr>
            <w:tcW w:w="60" w:type="dxa"/>
            <w:vAlign w:val="bottom"/>
            <w:tcBorders>
              <w:bottom w:val="single" w:sz="8" w:color="auto"/>
            </w:tcBorders>
          </w:tcPr>
          <w:p>
            <w:pPr>
              <w:spacing w:after="0"/>
              <w:rPr>
                <w:sz w:val="21"/>
                <w:szCs w:val="21"/>
                <w:color w:val="auto"/>
              </w:rPr>
            </w:pPr>
          </w:p>
        </w:tc>
      </w:tr>
      <w:tr>
        <w:trPr>
          <w:trHeight w:val="1613"/>
        </w:trPr>
        <w:tc>
          <w:tcPr>
            <w:tcW w:w="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9019"/>
          </w:cols>
          <w:pgMar w:left="1440" w:top="112" w:right="1440" w:bottom="1440" w:gutter="0" w:footer="0" w:header="0"/>
        </w:sectPr>
      </w:pPr>
    </w:p>
    <w:bookmarkStart w:id="66" w:name="page67"/>
    <w:bookmarkEnd w:id="66"/>
    <w:p>
      <w:pPr>
        <w:jc w:val="right"/>
        <w:ind w:right="219"/>
        <w:spacing w:after="0"/>
        <w:rPr>
          <w:sz w:val="20"/>
          <w:szCs w:val="20"/>
          <w:color w:val="auto"/>
        </w:rPr>
      </w:pPr>
      <w:r>
        <w:rPr>
          <w:rFonts w:ascii="Times New Roman" w:cs="Times New Roman" w:eastAsia="Times New Roman" w:hAnsi="Times New Roman"/>
          <w:sz w:val="22"/>
          <w:szCs w:val="22"/>
          <w:b w:val="1"/>
          <w:bCs w:val="1"/>
          <w:color w:val="auto"/>
        </w:rPr>
        <w:t>Exhibit 4.2</w:t>
      </w:r>
    </w:p>
    <w:p>
      <w:pPr>
        <w:spacing w:after="0" w:line="396" w:lineRule="exact"/>
        <w:rPr>
          <w:sz w:val="20"/>
          <w:szCs w:val="20"/>
          <w:color w:val="auto"/>
        </w:rPr>
      </w:pPr>
    </w:p>
    <w:p>
      <w:pPr>
        <w:jc w:val="center"/>
        <w:ind w:left="200" w:right="219"/>
        <w:spacing w:after="0" w:line="246" w:lineRule="auto"/>
        <w:rPr>
          <w:sz w:val="20"/>
          <w:szCs w:val="20"/>
          <w:color w:val="auto"/>
        </w:rPr>
      </w:pPr>
      <w:r>
        <w:rPr>
          <w:rFonts w:ascii="Times New Roman" w:cs="Times New Roman" w:eastAsia="Times New Roman" w:hAnsi="Times New Roman"/>
          <w:sz w:val="22"/>
          <w:szCs w:val="22"/>
          <w:b w:val="1"/>
          <w:bCs w:val="1"/>
          <w:color w:val="auto"/>
        </w:rPr>
        <w:t>WASTE MANAGEMENT, INC. Officers’ Certificate Delivered Pursuant to Section 301 of the Indenture dated as of September 10, 1997</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July 3, 2024</w:t>
      </w:r>
    </w:p>
    <w:p>
      <w:pPr>
        <w:spacing w:after="0" w:line="21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The undersigned, the Vice President and Treasurer, and the Vice President and</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Corporate Secretary of Waste Management, Inc. (the “Company”), hereby certify that:</w:t>
      </w:r>
    </w:p>
    <w:p>
      <w:pPr>
        <w:spacing w:after="0" w:line="182" w:lineRule="exact"/>
        <w:rPr>
          <w:sz w:val="20"/>
          <w:szCs w:val="20"/>
          <w:color w:val="auto"/>
        </w:rPr>
      </w:pPr>
    </w:p>
    <w:p>
      <w:pPr>
        <w:jc w:val="both"/>
        <w:ind w:left="200" w:right="219" w:firstLine="1305"/>
        <w:spacing w:after="0" w:line="235" w:lineRule="auto"/>
        <w:tabs>
          <w:tab w:leader="none" w:pos="2144"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Officers’ Certificate (this “Certificate”) is delivered to The Bank of New York Mellon Trust Company, N.A. (the current successor to Texas Commerce Bank National Association), as trustee (the “Trustee”), pursuant to Sections 102 and 301 of the Indenture dated as of September 10, 1997 between the Company, formerly known as USA Waste Services, Inc., and the Trustee (the “Indenture”) in connection with the Company Order dated July 3, 2024 (the “Order”) for the authentication and delivery by the Trustee of $750,000,000 aggregate principal amount of 4.950% Senior Notes due 2031 (the “Notes”).</w:t>
      </w:r>
    </w:p>
    <w:p>
      <w:pPr>
        <w:spacing w:after="0" w:line="183" w:lineRule="exact"/>
        <w:rPr>
          <w:rFonts w:ascii="Times New Roman" w:cs="Times New Roman" w:eastAsia="Times New Roman" w:hAnsi="Times New Roman"/>
          <w:sz w:val="22"/>
          <w:szCs w:val="22"/>
          <w:color w:val="auto"/>
        </w:rPr>
      </w:pPr>
    </w:p>
    <w:p>
      <w:pPr>
        <w:ind w:left="200" w:right="219" w:firstLine="1305"/>
        <w:spacing w:after="0" w:line="258" w:lineRule="auto"/>
        <w:tabs>
          <w:tab w:leader="none" w:pos="2144"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undersigned have read Sections 102, 103, 301 and 303 of the Indenture and the definitions in the Indenture relating thereto.</w:t>
      </w:r>
    </w:p>
    <w:p>
      <w:pPr>
        <w:spacing w:after="0" w:line="158" w:lineRule="exact"/>
        <w:rPr>
          <w:rFonts w:ascii="Times New Roman" w:cs="Times New Roman" w:eastAsia="Times New Roman" w:hAnsi="Times New Roman"/>
          <w:sz w:val="22"/>
          <w:szCs w:val="22"/>
          <w:color w:val="auto"/>
        </w:rPr>
      </w:pPr>
    </w:p>
    <w:p>
      <w:pPr>
        <w:jc w:val="both"/>
        <w:ind w:left="200" w:right="239" w:firstLine="1305"/>
        <w:spacing w:after="0" w:line="239" w:lineRule="auto"/>
        <w:tabs>
          <w:tab w:leader="none" w:pos="2144"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statements made herein are based either upon the personal knowledge of the persons making this Certificate or on information, data and reports furnished to such persons by the officers, counsel, department heads or employees of the Company who have knowledge of the facts involved.</w:t>
      </w:r>
    </w:p>
    <w:p>
      <w:pPr>
        <w:spacing w:after="0" w:line="180" w:lineRule="exact"/>
        <w:rPr>
          <w:rFonts w:ascii="Times New Roman" w:cs="Times New Roman" w:eastAsia="Times New Roman" w:hAnsi="Times New Roman"/>
          <w:sz w:val="22"/>
          <w:szCs w:val="22"/>
          <w:color w:val="auto"/>
        </w:rPr>
      </w:pPr>
    </w:p>
    <w:p>
      <w:pPr>
        <w:ind w:left="200" w:right="239" w:firstLine="1305"/>
        <w:spacing w:after="0" w:line="258" w:lineRule="auto"/>
        <w:tabs>
          <w:tab w:leader="none" w:pos="2144"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undersigned have examined the Order, and they have read the covenants, conditions and provisions of the Indenture relating thereto.</w:t>
      </w:r>
    </w:p>
    <w:p>
      <w:pPr>
        <w:spacing w:after="0" w:line="158"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opinion of the persons making this Certificate, they have made such examination or investigation as is necessary to enable them to express an informed opinion as to whether or not all covenants and conditions provided for in the Indenture with respect to the Order have been complied with.</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covenants and conditions (including all conditions precedent) provided in the Indenture to the authentication and delivery by the Trustee of $750,000,000 aggregate principal amount of the Notes have been complied with, and such Notes may be delivered in accordance with the Order as provided in the Indenture.</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terms of the Notes (including the Form of Note) as set forth in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xml:space="preserve"> to this Certificate have been approved by officers of the Company as authorized by resolutions duly adopted on March 1, 2022 and August 21, 2023 by the Board of Directors of the Company, which are in full force and effect as of the date hereof.</w:t>
      </w:r>
    </w:p>
    <w:p>
      <w:pPr>
        <w:spacing w:after="0" w:line="17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647700</wp:posOffset>
            </wp:positionV>
            <wp:extent cx="545211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67" w:name="page68"/>
    <w:bookmarkEnd w:id="67"/>
    <w:p>
      <w:pPr>
        <w:ind w:left="200" w:right="439" w:firstLine="1296"/>
        <w:spacing w:after="0" w:line="259" w:lineRule="auto"/>
        <w:rPr>
          <w:sz w:val="20"/>
          <w:szCs w:val="20"/>
          <w:color w:val="auto"/>
        </w:rPr>
      </w:pPr>
      <w:r>
        <w:rPr>
          <w:rFonts w:ascii="Times New Roman" w:cs="Times New Roman" w:eastAsia="Times New Roman" w:hAnsi="Times New Roman"/>
          <w:sz w:val="22"/>
          <w:szCs w:val="22"/>
          <w:color w:val="auto"/>
        </w:rPr>
        <w:t>IN WITNESS WHEREOF, the undersigned have hereunto executed this Officers’ Certificate as of the date first written above.</w:t>
      </w:r>
    </w:p>
    <w:p>
      <w:pPr>
        <w:spacing w:after="0" w:line="200" w:lineRule="exact"/>
        <w:rPr>
          <w:sz w:val="20"/>
          <w:szCs w:val="20"/>
          <w:color w:val="auto"/>
        </w:rPr>
      </w:pPr>
    </w:p>
    <w:p>
      <w:pPr>
        <w:spacing w:after="0" w:line="22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i w:val="1"/>
          <w:iCs w:val="1"/>
          <w:color w:val="auto"/>
        </w:rPr>
        <w:t>/s/ Leslie K. Nagy</w:t>
      </w:r>
    </w:p>
    <w:p>
      <w:pPr>
        <w:spacing w:after="0" w:line="3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Leslie K. Nagy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-158750</wp:posOffset>
            </wp:positionV>
            <wp:extent cx="260604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ind w:left="4600"/>
        <w:spacing w:after="0"/>
        <w:rPr>
          <w:sz w:val="20"/>
          <w:szCs w:val="20"/>
          <w:color w:val="auto"/>
        </w:rPr>
      </w:pPr>
      <w:r>
        <w:rPr>
          <w:rFonts w:ascii="Times New Roman" w:cs="Times New Roman" w:eastAsia="Times New Roman" w:hAnsi="Times New Roman"/>
          <w:sz w:val="22"/>
          <w:szCs w:val="22"/>
          <w:color w:val="auto"/>
        </w:rPr>
        <w:t>Vice President and Treasurer</w:t>
      </w:r>
    </w:p>
    <w:p>
      <w:pPr>
        <w:spacing w:after="0" w:line="20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i w:val="1"/>
          <w:iCs w:val="1"/>
          <w:color w:val="auto"/>
        </w:rPr>
        <w:t>/s/ Courtney A. Tippy</w:t>
      </w:r>
    </w:p>
    <w:p>
      <w:pPr>
        <w:spacing w:after="0" w:line="3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Courtney A. Tippy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-158750</wp:posOffset>
            </wp:positionV>
            <wp:extent cx="260604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ind w:left="4600"/>
        <w:spacing w:after="0"/>
        <w:rPr>
          <w:sz w:val="20"/>
          <w:szCs w:val="20"/>
          <w:color w:val="auto"/>
        </w:rPr>
      </w:pPr>
      <w:r>
        <w:rPr>
          <w:rFonts w:ascii="Times New Roman" w:cs="Times New Roman" w:eastAsia="Times New Roman" w:hAnsi="Times New Roman"/>
          <w:sz w:val="22"/>
          <w:szCs w:val="22"/>
          <w:color w:val="auto"/>
        </w:rPr>
        <w:t>Vice President and Corporate Secretary</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Officers’ Certificate Delivered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301 of the Indenture dated as of September 10, 1997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348615</wp:posOffset>
            </wp:positionV>
            <wp:extent cx="545211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68" w:name="page69"/>
    <w:bookmarkEnd w:id="68"/>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Annex A</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Terms of the Notes</w:t>
      </w:r>
    </w:p>
    <w:p>
      <w:pPr>
        <w:spacing w:after="0" w:line="209" w:lineRule="exact"/>
        <w:rPr>
          <w:sz w:val="20"/>
          <w:szCs w:val="20"/>
          <w:color w:val="auto"/>
        </w:rPr>
      </w:pPr>
    </w:p>
    <w:p>
      <w:pPr>
        <w:jc w:val="both"/>
        <w:ind w:left="200" w:right="219" w:firstLine="1296"/>
        <w:spacing w:after="0" w:line="234" w:lineRule="auto"/>
        <w:rPr>
          <w:sz w:val="20"/>
          <w:szCs w:val="20"/>
          <w:color w:val="auto"/>
        </w:rPr>
      </w:pPr>
      <w:r>
        <w:rPr>
          <w:rFonts w:ascii="Times New Roman" w:cs="Times New Roman" w:eastAsia="Times New Roman" w:hAnsi="Times New Roman"/>
          <w:sz w:val="22"/>
          <w:szCs w:val="22"/>
          <w:color w:val="auto"/>
        </w:rPr>
        <w:t>Pursuant to authority granted by the Board of Directors of the Company on March 1, 2022 and August 21, 2023 and the Sole Director of Waste Management Holdings, Inc. on June 18, 2024, the Company has approved the establishment, issuance, execution and delivery of a new series of Securities (as defined in the Indenture) to be issued under the Indenture dated as of September 10, 1997 (the “Indenture”), between the Company, formerly known as USA Waste Services, Inc., and The Bank of New York Mellon Trust Company, N.A. (the current successor to Texas Commerce Bank National Association), as trustee (the “Trustee”), the terms of which are set forth below. Capitalized terms used but not defined herein are used herein as defined in the Indenture.</w:t>
      </w:r>
    </w:p>
    <w:p>
      <w:pPr>
        <w:spacing w:after="0" w:line="183" w:lineRule="exact"/>
        <w:rPr>
          <w:sz w:val="20"/>
          <w:szCs w:val="20"/>
          <w:color w:val="auto"/>
        </w:rPr>
      </w:pPr>
    </w:p>
    <w:p>
      <w:pPr>
        <w:ind w:left="860" w:hanging="651"/>
        <w:spacing w:after="0"/>
        <w:tabs>
          <w:tab w:leader="none" w:pos="860"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title of the series of Securities shall be “4.950% Senior Notes due 2031” (the “Notes”).</w:t>
      </w:r>
    </w:p>
    <w:p>
      <w:pPr>
        <w:spacing w:after="0" w:line="217" w:lineRule="exact"/>
        <w:rPr>
          <w:rFonts w:ascii="Times New Roman" w:cs="Times New Roman" w:eastAsia="Times New Roman" w:hAnsi="Times New Roman"/>
          <w:sz w:val="21"/>
          <w:szCs w:val="21"/>
          <w:color w:val="auto"/>
        </w:rPr>
      </w:pPr>
    </w:p>
    <w:p>
      <w:pPr>
        <w:ind w:left="860" w:hanging="651"/>
        <w:spacing w:after="0"/>
        <w:tabs>
          <w:tab w:leader="none" w:pos="86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Notes shall be general unsecured, senior obligations of the Company.</w:t>
      </w:r>
    </w:p>
    <w:p>
      <w:pPr>
        <w:spacing w:after="0" w:line="206" w:lineRule="exact"/>
        <w:rPr>
          <w:rFonts w:ascii="Times New Roman" w:cs="Times New Roman" w:eastAsia="Times New Roman" w:hAnsi="Times New Roman"/>
          <w:sz w:val="22"/>
          <w:szCs w:val="22"/>
          <w:color w:val="auto"/>
        </w:rPr>
      </w:pPr>
    </w:p>
    <w:p>
      <w:pPr>
        <w:jc w:val="both"/>
        <w:ind w:left="860" w:right="219" w:hanging="651"/>
        <w:spacing w:after="0" w:line="235" w:lineRule="auto"/>
        <w:tabs>
          <w:tab w:leader="none" w:pos="86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initial aggregate principal amount of the Notes that may be authenticated and delivered under the Indenture shall be $750,000,000 (except for Notes authenticated and delivered upon registration of transfer of, or in exchange for, or in lieu of, other Notes pursuant to Section 304, 305, 306, 906 or 1107 of the Indenture); provided, however, that the authorized aggregate principal amount of such series may be increased before or after the issuance of any Notes of such series by a Board Resolution (or action pursuant to a Board Resolution) to such effect.</w:t>
      </w:r>
    </w:p>
    <w:p>
      <w:pPr>
        <w:spacing w:after="0" w:line="183"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amount of each Note shall be payable on July 3, 2031.</w:t>
      </w:r>
    </w:p>
    <w:p>
      <w:pPr>
        <w:spacing w:after="0" w:line="206" w:lineRule="exact"/>
        <w:rPr>
          <w:rFonts w:ascii="Times New Roman" w:cs="Times New Roman" w:eastAsia="Times New Roman" w:hAnsi="Times New Roman"/>
          <w:sz w:val="22"/>
          <w:szCs w:val="22"/>
          <w:color w:val="auto"/>
        </w:rPr>
      </w:pPr>
    </w:p>
    <w:p>
      <w:pPr>
        <w:jc w:val="both"/>
        <w:ind w:left="860" w:right="219" w:hanging="651"/>
        <w:spacing w:after="0" w:line="235" w:lineRule="auto"/>
        <w:tabs>
          <w:tab w:leader="none" w:pos="86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Note shall bear interest from July 3, 2024 at the fixed rate of 4.950% per annum; the Interest Payment Dates on which such interest shall be payable shall be January 3 and July 3 of each year, commencing January 3, 2025, until maturity, unless such date falls on a day that is not a Business Day, in which case, such payment shall be made on the next day that is a Business Day. The Regular Record Date for the determination of Holders to whom interest is payable shall be December 15 or June 15, respectively, immediately preceding such date, as the case may be.</w:t>
      </w:r>
    </w:p>
    <w:p>
      <w:pPr>
        <w:spacing w:after="0" w:line="183" w:lineRule="exact"/>
        <w:rPr>
          <w:rFonts w:ascii="Times New Roman" w:cs="Times New Roman" w:eastAsia="Times New Roman" w:hAnsi="Times New Roman"/>
          <w:sz w:val="22"/>
          <w:szCs w:val="22"/>
          <w:color w:val="auto"/>
        </w:rPr>
      </w:pPr>
    </w:p>
    <w:p>
      <w:pPr>
        <w:jc w:val="both"/>
        <w:ind w:left="860" w:right="219" w:hanging="651"/>
        <w:spacing w:after="0" w:line="239" w:lineRule="auto"/>
        <w:tabs>
          <w:tab w:leader="none" w:pos="86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“Change of Control Triggering Event” (as defined in the Notes) occurs, each Holder of the Notes may require the Company to purchase all or a portion of such Holder’s Notes at a price equal to 101% of the principal amount, plus accrued interest, if any, to the date of purchase, on the terms and subject to the conditions set forth in the Notes.</w:t>
      </w:r>
    </w:p>
    <w:p>
      <w:pPr>
        <w:spacing w:after="0" w:line="180" w:lineRule="exact"/>
        <w:rPr>
          <w:rFonts w:ascii="Times New Roman" w:cs="Times New Roman" w:eastAsia="Times New Roman" w:hAnsi="Times New Roman"/>
          <w:sz w:val="22"/>
          <w:szCs w:val="22"/>
          <w:color w:val="auto"/>
        </w:rPr>
      </w:pPr>
    </w:p>
    <w:p>
      <w:pPr>
        <w:jc w:val="both"/>
        <w:ind w:left="860" w:right="219" w:hanging="651"/>
        <w:spacing w:after="0" w:line="236" w:lineRule="auto"/>
        <w:tabs>
          <w:tab w:leader="none" w:pos="86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Notes are to be issued as Registered Securities only. Each Note is to be issued as a book-entry note (“Book-Entry Note”) but in certain circumstances may be represented by Notes in definitive form. The Book-Entry Notes shall be issued, in whole or in part, in the form of one or more Notes in global form as contemplated by Section 203 of the Indenture. The Depositary with respect to the Book-Entry Notes shall be The Depository Trust Company, New York,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569595</wp:posOffset>
            </wp:positionV>
            <wp:extent cx="545211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69" w:name="page70"/>
    <w:bookmarkEnd w:id="69"/>
    <w:p>
      <w:pPr>
        <w:jc w:val="both"/>
        <w:ind w:left="860" w:right="219" w:hanging="651"/>
        <w:spacing w:after="0" w:line="236" w:lineRule="auto"/>
        <w:tabs>
          <w:tab w:leader="none" w:pos="86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of principal of, premium, if any, and interest due on the Notes representing Book-Entry Notes on any Interest Payment Date or at maturity will be made available to the Trustee by 11:00 a.m., New York City time, on such date, unless such date falls on a day which is not a Business Day, in which case such payments will be made available to the Trustee by 11:00 a.m., New York City time, on the next Business Day. As soon as possible thereafter, the Trustee will make such payments to the Depositary.</w:t>
      </w:r>
    </w:p>
    <w:p>
      <w:pPr>
        <w:spacing w:after="0" w:line="181" w:lineRule="exact"/>
        <w:rPr>
          <w:rFonts w:ascii="Times New Roman" w:cs="Times New Roman" w:eastAsia="Times New Roman" w:hAnsi="Times New Roman"/>
          <w:sz w:val="22"/>
          <w:szCs w:val="22"/>
          <w:color w:val="auto"/>
        </w:rPr>
      </w:pPr>
    </w:p>
    <w:p>
      <w:pPr>
        <w:jc w:val="both"/>
        <w:ind w:left="860" w:right="239" w:hanging="651"/>
        <w:spacing w:after="0" w:line="261" w:lineRule="auto"/>
        <w:tabs>
          <w:tab w:leader="none" w:pos="860"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Prior to the Par Call Date, the Company may redeem the Notes at its option, in whole or in part, at any time and from time to time, at a Redemption Price (expressed as a percentage of principal amount and rounded to three decimal places) equal to the greater of:</w:t>
      </w:r>
    </w:p>
    <w:p>
      <w:pPr>
        <w:spacing w:after="0" w:line="157" w:lineRule="exact"/>
        <w:rPr>
          <w:rFonts w:ascii="Times New Roman" w:cs="Times New Roman" w:eastAsia="Times New Roman" w:hAnsi="Times New Roman"/>
          <w:sz w:val="21"/>
          <w:szCs w:val="21"/>
          <w:color w:val="auto"/>
        </w:rPr>
      </w:pPr>
    </w:p>
    <w:p>
      <w:pPr>
        <w:jc w:val="both"/>
        <w:ind w:left="1500" w:right="219" w:firstLine="5"/>
        <w:spacing w:after="0" w:line="238" w:lineRule="auto"/>
        <w:tabs>
          <w:tab w:leader="none" w:pos="1857"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(as defined in the Notes) plus 15 basis points, less (b) interest accrued to the Redemption Date, and</w:t>
      </w:r>
    </w:p>
    <w:p>
      <w:pPr>
        <w:spacing w:after="0" w:line="176" w:lineRule="exact"/>
        <w:rPr>
          <w:rFonts w:ascii="Times New Roman" w:cs="Times New Roman" w:eastAsia="Times New Roman" w:hAnsi="Times New Roman"/>
          <w:sz w:val="22"/>
          <w:szCs w:val="22"/>
          <w:color w:val="auto"/>
        </w:rPr>
      </w:pPr>
    </w:p>
    <w:p>
      <w:pPr>
        <w:ind w:left="1820" w:hanging="315"/>
        <w:spacing w:after="0"/>
        <w:tabs>
          <w:tab w:leader="none" w:pos="1820"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 of the principal amount of the Notes to be redeemed,</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plus, in either case, accrued and unpaid interest thereon to the Redemption Date.</w:t>
      </w:r>
    </w:p>
    <w:p>
      <w:pPr>
        <w:spacing w:after="0" w:line="206" w:lineRule="exact"/>
        <w:rPr>
          <w:sz w:val="20"/>
          <w:szCs w:val="20"/>
          <w:color w:val="auto"/>
        </w:rPr>
      </w:pPr>
    </w:p>
    <w:p>
      <w:pPr>
        <w:jc w:val="both"/>
        <w:ind w:left="860" w:right="219"/>
        <w:spacing w:after="0" w:line="239" w:lineRule="auto"/>
        <w:rPr>
          <w:sz w:val="20"/>
          <w:szCs w:val="20"/>
          <w:color w:val="auto"/>
        </w:rPr>
      </w:pPr>
      <w:r>
        <w:rPr>
          <w:rFonts w:ascii="Times New Roman" w:cs="Times New Roman" w:eastAsia="Times New Roman" w:hAnsi="Times New Roman"/>
          <w:sz w:val="22"/>
          <w:szCs w:val="22"/>
          <w:color w:val="auto"/>
        </w:rPr>
        <w:t>On or after the Par Call Date, the Company may redeem the Notes at its option, in whole or in part, at any time and from time to time, at a Redemption Price equal to 100% of the principal amount of the Notes to be redeemed, plus accrued and unpaid interest thereon to the Redemption Date.</w:t>
      </w:r>
    </w:p>
    <w:p>
      <w:pPr>
        <w:spacing w:after="0" w:line="18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“Par Call Date” means May 3, 2031.</w:t>
      </w:r>
    </w:p>
    <w:p>
      <w:pPr>
        <w:spacing w:after="0" w:line="206" w:lineRule="exact"/>
        <w:rPr>
          <w:sz w:val="20"/>
          <w:szCs w:val="20"/>
          <w:color w:val="auto"/>
        </w:rPr>
      </w:pPr>
    </w:p>
    <w:p>
      <w:pPr>
        <w:jc w:val="both"/>
        <w:ind w:left="860" w:right="239" w:hanging="651"/>
        <w:spacing w:after="0" w:line="244" w:lineRule="auto"/>
        <w:tabs>
          <w:tab w:leader="none" w:pos="86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have no obligation to redeem, purchase or repay the Notes pursuant to any mandatory redemption, sinking fund or analogous provisions or at the option of a Holder thereof.</w:t>
      </w:r>
    </w:p>
    <w:p>
      <w:pPr>
        <w:spacing w:after="0" w:line="173" w:lineRule="exact"/>
        <w:rPr>
          <w:rFonts w:ascii="Times New Roman" w:cs="Times New Roman" w:eastAsia="Times New Roman" w:hAnsi="Times New Roman"/>
          <w:sz w:val="22"/>
          <w:szCs w:val="22"/>
          <w:color w:val="auto"/>
        </w:rPr>
      </w:pPr>
    </w:p>
    <w:p>
      <w:pPr>
        <w:ind w:left="860" w:right="239" w:hanging="651"/>
        <w:spacing w:after="0" w:line="258" w:lineRule="auto"/>
        <w:tabs>
          <w:tab w:leader="none" w:pos="86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Notes will be subject to defeasance and discharge as contemplated by Section 1302 of the Indenture and to covenant defeasance under Section 1303 of the Indenture.</w:t>
      </w:r>
    </w:p>
    <w:p>
      <w:pPr>
        <w:spacing w:after="0" w:line="158" w:lineRule="exact"/>
        <w:rPr>
          <w:rFonts w:ascii="Times New Roman" w:cs="Times New Roman" w:eastAsia="Times New Roman" w:hAnsi="Times New Roman"/>
          <w:sz w:val="22"/>
          <w:szCs w:val="22"/>
          <w:color w:val="auto"/>
        </w:rPr>
      </w:pPr>
    </w:p>
    <w:p>
      <w:pPr>
        <w:ind w:left="860" w:right="219" w:hanging="651"/>
        <w:spacing w:after="0" w:line="258" w:lineRule="auto"/>
        <w:tabs>
          <w:tab w:leader="none" w:pos="86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Notes shall be entitled to the benefit of the covenants contained in Sections 1008 and 1009 of the Indenture.</w:t>
      </w:r>
    </w:p>
    <w:p>
      <w:pPr>
        <w:spacing w:after="0" w:line="158" w:lineRule="exact"/>
        <w:rPr>
          <w:rFonts w:ascii="Times New Roman" w:cs="Times New Roman" w:eastAsia="Times New Roman" w:hAnsi="Times New Roman"/>
          <w:sz w:val="22"/>
          <w:szCs w:val="22"/>
          <w:color w:val="auto"/>
        </w:rPr>
      </w:pPr>
    </w:p>
    <w:p>
      <w:pPr>
        <w:ind w:left="860" w:right="239" w:hanging="651"/>
        <w:spacing w:after="0" w:line="258" w:lineRule="auto"/>
        <w:tabs>
          <w:tab w:leader="none" w:pos="86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Bank of New York Mellon Trust Company, N.A. shall serve initially as Security Registrar for the Notes.</w:t>
      </w:r>
    </w:p>
    <w:p>
      <w:pPr>
        <w:spacing w:after="0" w:line="158"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Notes shall be substantially in the form of Exhibit A hereto.</w:t>
      </w:r>
    </w:p>
    <w:p>
      <w:pPr>
        <w:spacing w:after="0" w:line="206" w:lineRule="exact"/>
        <w:rPr>
          <w:rFonts w:ascii="Times New Roman" w:cs="Times New Roman" w:eastAsia="Times New Roman" w:hAnsi="Times New Roman"/>
          <w:sz w:val="22"/>
          <w:szCs w:val="22"/>
          <w:color w:val="auto"/>
        </w:rPr>
      </w:pPr>
    </w:p>
    <w:p>
      <w:pPr>
        <w:jc w:val="both"/>
        <w:ind w:left="860" w:right="219" w:hanging="651"/>
        <w:spacing w:after="0" w:line="251" w:lineRule="auto"/>
        <w:tabs>
          <w:tab w:leader="none" w:pos="860"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Notes will be fully and unconditionally guaranteed on a senior basis by the Company’s wholly owned subsidiary, Waste Management Holdings, Inc., pursuant to the terms and conditions of a Guarantee Agreement dated July 3, 2024 (the “Guarantee”). The amount of the Guarantee will be limited to the extent required under applicable fraudulent conveyance laws to cause the Guarantee to be enforceable. The terms and conditions of the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561340</wp:posOffset>
            </wp:positionV>
            <wp:extent cx="545211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70" w:name="page71"/>
    <w:bookmarkEnd w:id="70"/>
    <w:p>
      <w:pPr>
        <w:ind w:left="860" w:right="239"/>
        <w:spacing w:after="0" w:line="259" w:lineRule="auto"/>
        <w:rPr>
          <w:sz w:val="20"/>
          <w:szCs w:val="20"/>
          <w:color w:val="auto"/>
        </w:rPr>
      </w:pPr>
      <w:r>
        <w:rPr>
          <w:rFonts w:ascii="Times New Roman" w:cs="Times New Roman" w:eastAsia="Times New Roman" w:hAnsi="Times New Roman"/>
          <w:sz w:val="22"/>
          <w:szCs w:val="22"/>
          <w:color w:val="auto"/>
        </w:rPr>
        <w:t>shall continue in full force and effect for the benefit of holders of the Notes until release thereof as set forth in Section 6 of the Guarantee.</w:t>
      </w:r>
    </w:p>
    <w:p>
      <w:pPr>
        <w:spacing w:after="0" w:line="157" w:lineRule="exact"/>
        <w:rPr>
          <w:sz w:val="20"/>
          <w:szCs w:val="20"/>
          <w:color w:val="auto"/>
        </w:rPr>
      </w:pPr>
    </w:p>
    <w:p>
      <w:pPr>
        <w:jc w:val="both"/>
        <w:ind w:left="860" w:right="219" w:hanging="651"/>
        <w:spacing w:after="0" w:line="244" w:lineRule="auto"/>
        <w:tabs>
          <w:tab w:leader="none" w:pos="8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Notes shall be subject to the satisfaction and discharge provisions set forth in Section 401 of the Indenture, as such provisions are supplemented or modified by the terms and conditions set forth in the Notes in accordance with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1438910</wp:posOffset>
            </wp:positionV>
            <wp:extent cx="545211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71" w:name="page72"/>
    <w:bookmarkEnd w:id="71"/>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Form of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594995</wp:posOffset>
            </wp:positionV>
            <wp:extent cx="545211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72" w:name="page73"/>
    <w:bookmarkEnd w:id="72"/>
    <w:p>
      <w:pPr>
        <w:jc w:val="center"/>
        <w:ind w:right="19"/>
        <w:spacing w:after="0"/>
        <w:rPr>
          <w:sz w:val="20"/>
          <w:szCs w:val="20"/>
          <w:color w:val="auto"/>
        </w:rPr>
      </w:pPr>
      <w:r>
        <w:rPr>
          <w:rFonts w:ascii="Times New Roman" w:cs="Times New Roman" w:eastAsia="Times New Roman" w:hAnsi="Times New Roman"/>
          <w:sz w:val="22"/>
          <w:szCs w:val="22"/>
          <w:color w:val="auto"/>
        </w:rPr>
        <w:t>BOOK-ENTRY SECURITY</w:t>
      </w:r>
    </w:p>
    <w:p>
      <w:pPr>
        <w:spacing w:after="0" w:line="207" w:lineRule="exact"/>
        <w:rPr>
          <w:sz w:val="20"/>
          <w:szCs w:val="20"/>
          <w:color w:val="auto"/>
        </w:rPr>
      </w:pPr>
    </w:p>
    <w:p>
      <w:pPr>
        <w:jc w:val="both"/>
        <w:ind w:left="200" w:right="219" w:firstLine="667"/>
        <w:spacing w:after="0" w:line="234" w:lineRule="auto"/>
        <w:rPr>
          <w:sz w:val="20"/>
          <w:szCs w:val="20"/>
          <w:color w:val="auto"/>
        </w:rPr>
      </w:pPr>
      <w:r>
        <w:rPr>
          <w:rFonts w:ascii="Times New Roman" w:cs="Times New Roman" w:eastAsia="Times New Roman" w:hAnsi="Times New Roman"/>
          <w:sz w:val="22"/>
          <w:szCs w:val="22"/>
          <w:color w:val="auto"/>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spacing w:after="0" w:line="179" w:lineRule="exact"/>
        <w:rPr>
          <w:sz w:val="20"/>
          <w:szCs w:val="20"/>
          <w:color w:val="auto"/>
        </w:rPr>
      </w:pPr>
    </w:p>
    <w:p>
      <w:pPr>
        <w:jc w:val="both"/>
        <w:ind w:left="200" w:right="219" w:firstLine="667"/>
        <w:spacing w:after="0" w:line="233" w:lineRule="auto"/>
        <w:rPr>
          <w:sz w:val="20"/>
          <w:szCs w:val="20"/>
          <w:color w:val="auto"/>
        </w:rPr>
      </w:pPr>
      <w:r>
        <w:rPr>
          <w:rFonts w:ascii="Times New Roman" w:cs="Times New Roman" w:eastAsia="Times New Roman" w:hAnsi="Times New Roman"/>
          <w:sz w:val="22"/>
          <w:szCs w:val="22"/>
          <w:color w:val="auto"/>
        </w:rPr>
        <w:t>UNLESS THIS CERTIFICATE IS PRESENTED BY AN AUTHORIZED REPRESENTATIVE OF THE DEPOSITORY TRUST COMPANY, A NEW YORK CORPORATION (“DTC”), TO THE COMPANY (AS DEFINED BELOW) OR ITS AGENT FOR REGISTRATION FOR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7" w:lineRule="exact"/>
        <w:rPr>
          <w:sz w:val="20"/>
          <w:szCs w:val="20"/>
          <w:color w:val="auto"/>
        </w:rPr>
      </w:pPr>
    </w:p>
    <w:tbl>
      <w:tblPr>
        <w:tblLayout w:type="fixed"/>
        <w:tblInd w:w="300" w:type="dxa"/>
        <w:tblCellMar>
          <w:top w:w="0" w:type="dxa"/>
          <w:left w:w="0" w:type="dxa"/>
          <w:bottom w:w="0" w:type="dxa"/>
          <w:right w:w="0" w:type="dxa"/>
        </w:tblCellMar>
      </w:tblPr>
      <w:tr>
        <w:trPr>
          <w:trHeight w:val="282"/>
        </w:trPr>
        <w:tc>
          <w:tcPr>
            <w:tcW w:w="5800" w:type="dxa"/>
            <w:vAlign w:val="bottom"/>
          </w:tcPr>
          <w:p>
            <w:pPr>
              <w:spacing w:after="0"/>
              <w:rPr>
                <w:sz w:val="20"/>
                <w:szCs w:val="20"/>
                <w:color w:val="auto"/>
              </w:rPr>
            </w:pPr>
            <w:r>
              <w:rPr>
                <w:rFonts w:ascii="Times New Roman" w:cs="Times New Roman" w:eastAsia="Times New Roman" w:hAnsi="Times New Roman"/>
                <w:sz w:val="22"/>
                <w:szCs w:val="22"/>
                <w:color w:val="auto"/>
              </w:rPr>
              <w:t>RGN</w:t>
            </w: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Principal Amount</w:t>
            </w:r>
          </w:p>
        </w:tc>
        <w:tc>
          <w:tcPr>
            <w:tcW w:w="0" w:type="dxa"/>
            <w:vAlign w:val="bottom"/>
          </w:tcPr>
          <w:p>
            <w:pPr>
              <w:spacing w:after="0"/>
              <w:rPr>
                <w:sz w:val="1"/>
                <w:szCs w:val="1"/>
                <w:color w:val="auto"/>
              </w:rPr>
            </w:pPr>
          </w:p>
        </w:tc>
      </w:tr>
      <w:tr>
        <w:trPr>
          <w:trHeight w:val="420"/>
        </w:trPr>
        <w:tc>
          <w:tcPr>
            <w:tcW w:w="5800" w:type="dxa"/>
            <w:vAlign w:val="bottom"/>
          </w:tcPr>
          <w:p>
            <w:pPr>
              <w:spacing w:after="0"/>
              <w:rPr>
                <w:sz w:val="24"/>
                <w:szCs w:val="24"/>
                <w:color w:val="auto"/>
              </w:rPr>
            </w:pPr>
          </w:p>
        </w:tc>
        <w:tc>
          <w:tcPr>
            <w:tcW w:w="198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U.S. $</w:t>
            </w: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43"/>
        </w:trPr>
        <w:tc>
          <w:tcPr>
            <w:tcW w:w="5800" w:type="dxa"/>
            <w:vAlign w:val="bottom"/>
          </w:tcPr>
          <w:p>
            <w:pPr>
              <w:spacing w:after="0"/>
              <w:rPr>
                <w:sz w:val="21"/>
                <w:szCs w:val="21"/>
                <w:color w:val="auto"/>
              </w:rPr>
            </w:pPr>
          </w:p>
        </w:tc>
        <w:tc>
          <w:tcPr>
            <w:tcW w:w="260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which may be decreased</w:t>
            </w:r>
          </w:p>
        </w:tc>
        <w:tc>
          <w:tcPr>
            <w:tcW w:w="0" w:type="dxa"/>
            <w:vAlign w:val="bottom"/>
          </w:tcPr>
          <w:p>
            <w:pPr>
              <w:spacing w:after="0"/>
              <w:rPr>
                <w:sz w:val="1"/>
                <w:szCs w:val="1"/>
                <w:color w:val="auto"/>
              </w:rPr>
            </w:pPr>
          </w:p>
        </w:tc>
      </w:tr>
      <w:tr>
        <w:trPr>
          <w:trHeight w:val="243"/>
        </w:trPr>
        <w:tc>
          <w:tcPr>
            <w:tcW w:w="5800" w:type="dxa"/>
            <w:vAlign w:val="bottom"/>
          </w:tcPr>
          <w:p>
            <w:pPr>
              <w:spacing w:after="0"/>
              <w:rPr>
                <w:sz w:val="21"/>
                <w:szCs w:val="21"/>
                <w:color w:val="auto"/>
              </w:rPr>
            </w:pPr>
          </w:p>
        </w:tc>
        <w:tc>
          <w:tcPr>
            <w:tcW w:w="260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by the Schedule of</w:t>
            </w:r>
          </w:p>
        </w:tc>
        <w:tc>
          <w:tcPr>
            <w:tcW w:w="0" w:type="dxa"/>
            <w:vAlign w:val="bottom"/>
          </w:tcPr>
          <w:p>
            <w:pPr>
              <w:spacing w:after="0"/>
              <w:rPr>
                <w:sz w:val="1"/>
                <w:szCs w:val="1"/>
                <w:color w:val="auto"/>
              </w:rPr>
            </w:pPr>
          </w:p>
        </w:tc>
      </w:tr>
      <w:tr>
        <w:trPr>
          <w:trHeight w:val="243"/>
        </w:trPr>
        <w:tc>
          <w:tcPr>
            <w:tcW w:w="5800" w:type="dxa"/>
            <w:vAlign w:val="bottom"/>
            <w:vMerge w:val="restart"/>
          </w:tcPr>
          <w:p>
            <w:pPr>
              <w:ind w:left="2520"/>
              <w:spacing w:after="0"/>
              <w:rPr>
                <w:sz w:val="20"/>
                <w:szCs w:val="20"/>
                <w:color w:val="auto"/>
              </w:rPr>
            </w:pPr>
            <w:r>
              <w:rPr>
                <w:rFonts w:ascii="Times New Roman" w:cs="Times New Roman" w:eastAsia="Times New Roman" w:hAnsi="Times New Roman"/>
                <w:sz w:val="22"/>
                <w:szCs w:val="22"/>
                <w:color w:val="auto"/>
              </w:rPr>
              <w:t>WASTE MANAGEMENT, INC.</w:t>
            </w:r>
          </w:p>
        </w:tc>
        <w:tc>
          <w:tcPr>
            <w:tcW w:w="260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Exchanges of Definitive</w:t>
            </w:r>
          </w:p>
        </w:tc>
        <w:tc>
          <w:tcPr>
            <w:tcW w:w="0" w:type="dxa"/>
            <w:vAlign w:val="bottom"/>
          </w:tcPr>
          <w:p>
            <w:pPr>
              <w:spacing w:after="0"/>
              <w:rPr>
                <w:sz w:val="1"/>
                <w:szCs w:val="1"/>
                <w:color w:val="auto"/>
              </w:rPr>
            </w:pPr>
          </w:p>
        </w:tc>
      </w:tr>
      <w:tr>
        <w:trPr>
          <w:trHeight w:val="282"/>
        </w:trPr>
        <w:tc>
          <w:tcPr>
            <w:tcW w:w="5800" w:type="dxa"/>
            <w:vAlign w:val="bottom"/>
            <w:vMerge w:val="continue"/>
          </w:tcPr>
          <w:p>
            <w:pPr>
              <w:spacing w:after="0"/>
              <w:rPr>
                <w:sz w:val="24"/>
                <w:szCs w:val="24"/>
                <w:color w:val="auto"/>
              </w:rPr>
            </w:pP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Security attached hereto</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4.950% SENIOR NOTES DUE 2031</w:t>
      </w:r>
    </w:p>
    <w:p>
      <w:pPr>
        <w:spacing w:after="0" w:line="206"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22"/>
          <w:szCs w:val="22"/>
          <w:color w:val="auto"/>
        </w:rPr>
        <w:t>CUSIP 94106L BY4</w:t>
      </w:r>
    </w:p>
    <w:p>
      <w:pPr>
        <w:spacing w:after="0" w:line="206" w:lineRule="exact"/>
        <w:rPr>
          <w:sz w:val="20"/>
          <w:szCs w:val="20"/>
          <w:color w:val="auto"/>
        </w:rPr>
      </w:pPr>
    </w:p>
    <w:p>
      <w:pPr>
        <w:jc w:val="both"/>
        <w:ind w:left="200" w:right="219" w:firstLine="667"/>
        <w:spacing w:after="0" w:line="249" w:lineRule="auto"/>
        <w:rPr>
          <w:sz w:val="20"/>
          <w:szCs w:val="20"/>
          <w:color w:val="auto"/>
        </w:rPr>
      </w:pPr>
      <w:r>
        <w:rPr>
          <w:rFonts w:ascii="Times New Roman" w:cs="Times New Roman" w:eastAsia="Times New Roman" w:hAnsi="Times New Roman"/>
          <w:sz w:val="21"/>
          <w:szCs w:val="21"/>
          <w:color w:val="auto"/>
        </w:rPr>
        <w:t>WASTE MANAGEMENT, INC., a Delaware corporation (the “Company,” which term includes any successors under the Indenture hereinafter referred to), for value received, hereby promises to pay to CEDE &amp; CO. or registered assigns, at the office or agency of the Company, the</w:t>
      </w:r>
    </w:p>
    <w:p>
      <w:pPr>
        <w:spacing w:after="0" w:line="1" w:lineRule="exact"/>
        <w:rPr>
          <w:sz w:val="20"/>
          <w:szCs w:val="20"/>
          <w:color w:val="auto"/>
        </w:rPr>
      </w:pPr>
    </w:p>
    <w:p>
      <w:pPr>
        <w:jc w:val="both"/>
        <w:ind w:left="200" w:right="219"/>
        <w:spacing w:after="0" w:line="232" w:lineRule="auto"/>
        <w:rPr>
          <w:sz w:val="20"/>
          <w:szCs w:val="20"/>
          <w:color w:val="auto"/>
        </w:rPr>
      </w:pPr>
      <w:r>
        <w:rPr>
          <w:rFonts w:ascii="Times New Roman" w:cs="Times New Roman" w:eastAsia="Times New Roman" w:hAnsi="Times New Roman"/>
          <w:sz w:val="22"/>
          <w:szCs w:val="22"/>
          <w:color w:val="auto"/>
        </w:rPr>
        <w:t>principal sum of Million ($ ) U.S. dollars, or such lesser principal sum as is shown on the attached Schedule of Exchanges of Definitive Security, on July 3, 2031 in such coin or currency of the United States of America as at the time of payment shall be legal tender for the payment of public and private debts, and to pay interest at an annual rate of 4.950% payable on January 3 and July 3 of each year, to the person in whose name this Security is registered at the close of business on the record date for such interest, which shall be the preceding December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493395</wp:posOffset>
            </wp:positionV>
            <wp:extent cx="545211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73" w:name="page74"/>
    <w:bookmarkEnd w:id="73"/>
    <w:p>
      <w:pPr>
        <w:jc w:val="both"/>
        <w:ind w:left="200" w:right="239"/>
        <w:spacing w:after="0" w:line="259" w:lineRule="auto"/>
        <w:rPr>
          <w:sz w:val="20"/>
          <w:szCs w:val="20"/>
          <w:color w:val="auto"/>
        </w:rPr>
      </w:pPr>
      <w:r>
        <w:rPr>
          <w:rFonts w:ascii="Times New Roman" w:cs="Times New Roman" w:eastAsia="Times New Roman" w:hAnsi="Times New Roman"/>
          <w:sz w:val="22"/>
          <w:szCs w:val="22"/>
          <w:color w:val="auto"/>
        </w:rPr>
        <w:t>or June 15, respectively, payable commencing January 3, 2025, with interest accruing from July 3, 2024, or the most recent date to which interest has been paid.</w:t>
      </w:r>
    </w:p>
    <w:p>
      <w:pPr>
        <w:spacing w:after="0" w:line="157" w:lineRule="exact"/>
        <w:rPr>
          <w:sz w:val="20"/>
          <w:szCs w:val="20"/>
          <w:color w:val="auto"/>
        </w:rPr>
      </w:pPr>
    </w:p>
    <w:p>
      <w:pPr>
        <w:jc w:val="both"/>
        <w:ind w:left="200" w:right="219" w:firstLine="667"/>
        <w:spacing w:after="0" w:line="244" w:lineRule="auto"/>
        <w:rPr>
          <w:sz w:val="20"/>
          <w:szCs w:val="20"/>
          <w:color w:val="auto"/>
        </w:rPr>
      </w:pPr>
      <w:r>
        <w:rPr>
          <w:rFonts w:ascii="Times New Roman" w:cs="Times New Roman" w:eastAsia="Times New Roman" w:hAnsi="Times New Roman"/>
          <w:sz w:val="22"/>
          <w:szCs w:val="22"/>
          <w:color w:val="auto"/>
        </w:rPr>
        <w:t>Reference is made to the further provisions of this Security set forth on the reverse hereof. Such further provisions shall for all purposes have the same effect as though fully set forth at this place.</w:t>
      </w:r>
    </w:p>
    <w:p>
      <w:pPr>
        <w:spacing w:after="0" w:line="173" w:lineRule="exact"/>
        <w:rPr>
          <w:sz w:val="20"/>
          <w:szCs w:val="20"/>
          <w:color w:val="auto"/>
        </w:rPr>
      </w:pPr>
    </w:p>
    <w:p>
      <w:pPr>
        <w:jc w:val="both"/>
        <w:ind w:left="200" w:right="219" w:firstLine="667"/>
        <w:spacing w:after="0" w:line="244" w:lineRule="auto"/>
        <w:rPr>
          <w:sz w:val="20"/>
          <w:szCs w:val="20"/>
          <w:color w:val="auto"/>
        </w:rPr>
      </w:pPr>
      <w:r>
        <w:rPr>
          <w:rFonts w:ascii="Times New Roman" w:cs="Times New Roman" w:eastAsia="Times New Roman" w:hAnsi="Times New Roman"/>
          <w:sz w:val="22"/>
          <w:szCs w:val="22"/>
          <w:color w:val="auto"/>
        </w:rPr>
        <w:t>The statements in the legends set forth above are an integral part of the terms of this Security and by acceptance hereof the Holder of this Security agrees to be subject to, and bound by, the terms and provisions set forth in each such legend.</w:t>
      </w:r>
    </w:p>
    <w:p>
      <w:pPr>
        <w:spacing w:after="0" w:line="173" w:lineRule="exact"/>
        <w:rPr>
          <w:sz w:val="20"/>
          <w:szCs w:val="20"/>
          <w:color w:val="auto"/>
        </w:rPr>
      </w:pPr>
    </w:p>
    <w:p>
      <w:pPr>
        <w:jc w:val="both"/>
        <w:ind w:left="200" w:right="219" w:firstLine="667"/>
        <w:spacing w:after="0" w:line="234" w:lineRule="auto"/>
        <w:rPr>
          <w:sz w:val="20"/>
          <w:szCs w:val="20"/>
          <w:color w:val="auto"/>
        </w:rPr>
      </w:pPr>
      <w:r>
        <w:rPr>
          <w:rFonts w:ascii="Times New Roman" w:cs="Times New Roman" w:eastAsia="Times New Roman" w:hAnsi="Times New Roman"/>
          <w:sz w:val="22"/>
          <w:szCs w:val="22"/>
          <w:color w:val="auto"/>
        </w:rPr>
        <w:t>This Security is issued in respect of a series of Securities of an initial aggregate of U.S. $750,000,000 in principal amount designated as the 4.950% Senior Notes due 2031 of the Company and is governed by the Indenture dated as of September 10, 1997, duly executed and delivered by the Company, formerly known as USA Waste Services, Inc., to The Bank of New York Mellon Trust Company, N.A. (the current successor to Texas Commerce Bank National Association) as trustee (the “Trustee”), as supplemented by Board Resolutions (as defined in the Indenture) (such Indenture and Board Resolutions, collectively, the “Indenture”). The terms of the Indenture are incorporated herein by reference. This Security shall in all respects be entitled to the same benefits as definitive Securities under the Indenture.</w:t>
      </w:r>
    </w:p>
    <w:p>
      <w:pPr>
        <w:spacing w:after="0" w:line="183" w:lineRule="exact"/>
        <w:rPr>
          <w:sz w:val="20"/>
          <w:szCs w:val="20"/>
          <w:color w:val="auto"/>
        </w:rPr>
      </w:pPr>
    </w:p>
    <w:p>
      <w:pPr>
        <w:jc w:val="both"/>
        <w:ind w:left="200" w:right="219" w:firstLine="667"/>
        <w:spacing w:after="0" w:line="239" w:lineRule="auto"/>
        <w:rPr>
          <w:sz w:val="20"/>
          <w:szCs w:val="20"/>
          <w:color w:val="auto"/>
        </w:rPr>
      </w:pPr>
      <w:r>
        <w:rPr>
          <w:rFonts w:ascii="Times New Roman" w:cs="Times New Roman" w:eastAsia="Times New Roman" w:hAnsi="Times New Roman"/>
          <w:sz w:val="22"/>
          <w:szCs w:val="22"/>
          <w:color w:val="auto"/>
        </w:rPr>
        <w:t>If and to the extent that any provision of the Indenture limits, qualifies or conflicts with any other provision of the Indenture that is required to be included in the Indenture or is deemed applicable to the Indenture by virtue of the provisions of the Trust Indenture Act of 1939, as amended, such required provision shall control.</w:t>
      </w:r>
    </w:p>
    <w:p>
      <w:pPr>
        <w:spacing w:after="0" w:line="180" w:lineRule="exact"/>
        <w:rPr>
          <w:sz w:val="20"/>
          <w:szCs w:val="20"/>
          <w:color w:val="auto"/>
        </w:rPr>
      </w:pPr>
    </w:p>
    <w:p>
      <w:pPr>
        <w:jc w:val="both"/>
        <w:ind w:left="200" w:right="239" w:firstLine="667"/>
        <w:spacing w:after="0" w:line="258" w:lineRule="auto"/>
        <w:rPr>
          <w:sz w:val="20"/>
          <w:szCs w:val="20"/>
          <w:color w:val="auto"/>
        </w:rPr>
      </w:pPr>
      <w:r>
        <w:rPr>
          <w:rFonts w:ascii="Times New Roman" w:cs="Times New Roman" w:eastAsia="Times New Roman" w:hAnsi="Times New Roman"/>
          <w:sz w:val="22"/>
          <w:szCs w:val="22"/>
          <w:color w:val="auto"/>
        </w:rPr>
        <w:t>The Company hereby irrevocably undertakes to the Holder hereof to exchange this Security in accordance with the terms of the Indenture without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615315</wp:posOffset>
            </wp:positionV>
            <wp:extent cx="545211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74" w:name="page75"/>
    <w:bookmarkEnd w:id="74"/>
    <w:p>
      <w:pPr>
        <w:ind w:left="200" w:right="239" w:firstLine="667"/>
        <w:spacing w:after="0" w:line="259" w:lineRule="auto"/>
        <w:rPr>
          <w:sz w:val="20"/>
          <w:szCs w:val="20"/>
          <w:color w:val="auto"/>
        </w:rPr>
      </w:pPr>
      <w:r>
        <w:rPr>
          <w:rFonts w:ascii="Times New Roman" w:cs="Times New Roman" w:eastAsia="Times New Roman" w:hAnsi="Times New Roman"/>
          <w:sz w:val="22"/>
          <w:szCs w:val="22"/>
          <w:color w:val="auto"/>
        </w:rPr>
        <w:t>This Security shall not be valid or become obligatory for any purpose until the Certificate of Authentication hereon shall have been manually signed by the Trustee under the Indenture.</w:t>
      </w:r>
    </w:p>
    <w:p>
      <w:pPr>
        <w:spacing w:after="0" w:line="157" w:lineRule="exact"/>
        <w:rPr>
          <w:sz w:val="20"/>
          <w:szCs w:val="20"/>
          <w:color w:val="auto"/>
        </w:rPr>
      </w:pPr>
    </w:p>
    <w:p>
      <w:pPr>
        <w:ind w:left="200" w:right="219" w:firstLine="667"/>
        <w:spacing w:after="0" w:line="258" w:lineRule="auto"/>
        <w:rPr>
          <w:sz w:val="20"/>
          <w:szCs w:val="20"/>
          <w:color w:val="auto"/>
        </w:rPr>
      </w:pPr>
      <w:r>
        <w:rPr>
          <w:rFonts w:ascii="Times New Roman" w:cs="Times New Roman" w:eastAsia="Times New Roman" w:hAnsi="Times New Roman"/>
          <w:sz w:val="22"/>
          <w:szCs w:val="22"/>
          <w:color w:val="auto"/>
        </w:rPr>
        <w:t>IN WITNESS WHEREOF, the Company has caused this instrument to be duly executed under its corporate seal.</w:t>
      </w:r>
    </w:p>
    <w:p>
      <w:pPr>
        <w:spacing w:after="0" w:line="148" w:lineRule="exact"/>
        <w:rPr>
          <w:sz w:val="20"/>
          <w:szCs w:val="20"/>
          <w:color w:val="auto"/>
        </w:rPr>
      </w:pPr>
    </w:p>
    <w:tbl>
      <w:tblPr>
        <w:tblLayout w:type="fixed"/>
        <w:tblInd w:w="300" w:type="dxa"/>
        <w:tblCellMar>
          <w:top w:w="0" w:type="dxa"/>
          <w:left w:w="0" w:type="dxa"/>
          <w:bottom w:w="0" w:type="dxa"/>
          <w:right w:w="0" w:type="dxa"/>
        </w:tblCellMar>
      </w:tblPr>
      <w:tr>
        <w:trPr>
          <w:trHeight w:val="253"/>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rPr>
              <w:t>Dated:</w:t>
            </w:r>
          </w:p>
        </w:tc>
        <w:tc>
          <w:tcPr>
            <w:tcW w:w="5800" w:type="dxa"/>
            <w:vAlign w:val="bottom"/>
            <w:gridSpan w:val="5"/>
          </w:tcPr>
          <w:p>
            <w:pPr>
              <w:ind w:left="1820"/>
              <w:spacing w:after="0"/>
              <w:rPr>
                <w:sz w:val="20"/>
                <w:szCs w:val="20"/>
                <w:color w:val="auto"/>
              </w:rPr>
            </w:pPr>
            <w:r>
              <w:rPr>
                <w:rFonts w:ascii="Times New Roman" w:cs="Times New Roman" w:eastAsia="Times New Roman" w:hAnsi="Times New Roman"/>
                <w:sz w:val="22"/>
                <w:szCs w:val="22"/>
                <w:color w:val="auto"/>
              </w:rPr>
              <w:t>WASTE MANAGEMENT, INC.,</w:t>
            </w:r>
          </w:p>
        </w:tc>
      </w:tr>
      <w:tr>
        <w:trPr>
          <w:trHeight w:val="282"/>
        </w:trPr>
        <w:tc>
          <w:tcPr>
            <w:tcW w:w="2420" w:type="dxa"/>
            <w:vAlign w:val="bottom"/>
          </w:tcPr>
          <w:p>
            <w:pPr>
              <w:spacing w:after="0"/>
              <w:rPr>
                <w:sz w:val="24"/>
                <w:szCs w:val="24"/>
                <w:color w:val="auto"/>
              </w:rPr>
            </w:pPr>
          </w:p>
        </w:tc>
        <w:tc>
          <w:tcPr>
            <w:tcW w:w="5800" w:type="dxa"/>
            <w:vAlign w:val="bottom"/>
            <w:gridSpan w:val="5"/>
          </w:tcPr>
          <w:p>
            <w:pPr>
              <w:ind w:left="1820"/>
              <w:spacing w:after="0"/>
              <w:rPr>
                <w:sz w:val="20"/>
                <w:szCs w:val="20"/>
                <w:color w:val="auto"/>
              </w:rPr>
            </w:pPr>
            <w:r>
              <w:rPr>
                <w:rFonts w:ascii="Times New Roman" w:cs="Times New Roman" w:eastAsia="Times New Roman" w:hAnsi="Times New Roman"/>
                <w:sz w:val="22"/>
                <w:szCs w:val="22"/>
                <w:color w:val="auto"/>
              </w:rPr>
              <w:t>a Delaware corporation</w:t>
            </w:r>
          </w:p>
        </w:tc>
      </w:tr>
      <w:tr>
        <w:trPr>
          <w:trHeight w:val="434"/>
        </w:trPr>
        <w:tc>
          <w:tcPr>
            <w:tcW w:w="2420" w:type="dxa"/>
            <w:vAlign w:val="bottom"/>
          </w:tcPr>
          <w:p>
            <w:pPr>
              <w:spacing w:after="0"/>
              <w:rPr>
                <w:sz w:val="24"/>
                <w:szCs w:val="24"/>
                <w:color w:val="auto"/>
              </w:rPr>
            </w:pPr>
          </w:p>
        </w:tc>
        <w:tc>
          <w:tcPr>
            <w:tcW w:w="5800" w:type="dxa"/>
            <w:vAlign w:val="bottom"/>
            <w:gridSpan w:val="5"/>
          </w:tcPr>
          <w:p>
            <w:pPr>
              <w:ind w:left="1820"/>
              <w:spacing w:after="0"/>
              <w:rPr>
                <w:sz w:val="20"/>
                <w:szCs w:val="20"/>
                <w:color w:val="auto"/>
              </w:rPr>
            </w:pPr>
            <w:r>
              <w:rPr>
                <w:rFonts w:ascii="Times New Roman" w:cs="Times New Roman" w:eastAsia="Times New Roman" w:hAnsi="Times New Roman"/>
                <w:sz w:val="22"/>
                <w:szCs w:val="22"/>
                <w:color w:val="auto"/>
              </w:rPr>
              <w:t>By:</w:t>
            </w:r>
          </w:p>
        </w:tc>
      </w:tr>
      <w:tr>
        <w:trPr>
          <w:trHeight w:val="236"/>
        </w:trPr>
        <w:tc>
          <w:tcPr>
            <w:tcW w:w="24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480" w:type="dxa"/>
            <w:vAlign w:val="bottom"/>
            <w:tcBorders>
              <w:top w:val="single" w:sz="8" w:color="auto"/>
            </w:tcBorders>
            <w:gridSpan w:val="3"/>
          </w:tcPr>
          <w:p>
            <w:pPr>
              <w:spacing w:after="0" w:line="236" w:lineRule="exact"/>
              <w:rPr>
                <w:sz w:val="20"/>
                <w:szCs w:val="20"/>
                <w:color w:val="auto"/>
              </w:rPr>
            </w:pPr>
            <w:r>
              <w:rPr>
                <w:rFonts w:ascii="Times New Roman" w:cs="Times New Roman" w:eastAsia="Times New Roman" w:hAnsi="Times New Roman"/>
                <w:sz w:val="22"/>
                <w:szCs w:val="22"/>
                <w:color w:val="auto"/>
              </w:rPr>
              <w:t>Leslie K. Nagy</w:t>
            </w:r>
          </w:p>
        </w:tc>
        <w:tc>
          <w:tcPr>
            <w:tcW w:w="940" w:type="dxa"/>
            <w:vAlign w:val="bottom"/>
          </w:tcPr>
          <w:p>
            <w:pPr>
              <w:spacing w:after="0"/>
              <w:rPr>
                <w:sz w:val="20"/>
                <w:szCs w:val="20"/>
                <w:color w:val="auto"/>
              </w:rPr>
            </w:pPr>
          </w:p>
        </w:tc>
      </w:tr>
      <w:tr>
        <w:trPr>
          <w:trHeight w:val="282"/>
        </w:trPr>
        <w:tc>
          <w:tcPr>
            <w:tcW w:w="2420" w:type="dxa"/>
            <w:vAlign w:val="bottom"/>
          </w:tcPr>
          <w:p>
            <w:pPr>
              <w:spacing w:after="0"/>
              <w:rPr>
                <w:sz w:val="24"/>
                <w:szCs w:val="24"/>
                <w:color w:val="auto"/>
              </w:rPr>
            </w:pPr>
          </w:p>
        </w:tc>
        <w:tc>
          <w:tcPr>
            <w:tcW w:w="5800" w:type="dxa"/>
            <w:vAlign w:val="bottom"/>
            <w:gridSpan w:val="5"/>
          </w:tcPr>
          <w:p>
            <w:pPr>
              <w:ind w:left="2380"/>
              <w:spacing w:after="0"/>
              <w:rPr>
                <w:sz w:val="20"/>
                <w:szCs w:val="20"/>
                <w:color w:val="auto"/>
              </w:rPr>
            </w:pPr>
            <w:r>
              <w:rPr>
                <w:rFonts w:ascii="Times New Roman" w:cs="Times New Roman" w:eastAsia="Times New Roman" w:hAnsi="Times New Roman"/>
                <w:sz w:val="22"/>
                <w:szCs w:val="22"/>
                <w:color w:val="auto"/>
              </w:rPr>
              <w:t>Vice President and Treasurer</w:t>
            </w:r>
          </w:p>
        </w:tc>
      </w:tr>
      <w:tr>
        <w:trPr>
          <w:trHeight w:val="729"/>
        </w:trPr>
        <w:tc>
          <w:tcPr>
            <w:tcW w:w="2420" w:type="dxa"/>
            <w:vAlign w:val="bottom"/>
          </w:tcPr>
          <w:p>
            <w:pPr>
              <w:spacing w:after="0"/>
              <w:rPr>
                <w:sz w:val="24"/>
                <w:szCs w:val="24"/>
                <w:color w:val="auto"/>
              </w:rPr>
            </w:pPr>
          </w:p>
        </w:tc>
        <w:tc>
          <w:tcPr>
            <w:tcW w:w="5800" w:type="dxa"/>
            <w:vAlign w:val="bottom"/>
            <w:gridSpan w:val="5"/>
          </w:tcPr>
          <w:p>
            <w:pPr>
              <w:ind w:left="1820"/>
              <w:spacing w:after="0"/>
              <w:rPr>
                <w:sz w:val="20"/>
                <w:szCs w:val="20"/>
                <w:color w:val="auto"/>
              </w:rPr>
            </w:pPr>
            <w:r>
              <w:rPr>
                <w:rFonts w:ascii="Times New Roman" w:cs="Times New Roman" w:eastAsia="Times New Roman" w:hAnsi="Times New Roman"/>
                <w:sz w:val="22"/>
                <w:szCs w:val="22"/>
                <w:color w:val="auto"/>
              </w:rPr>
              <w:t>Attest:</w:t>
            </w:r>
          </w:p>
        </w:tc>
      </w:tr>
      <w:tr>
        <w:trPr>
          <w:trHeight w:val="434"/>
        </w:trPr>
        <w:tc>
          <w:tcPr>
            <w:tcW w:w="2420" w:type="dxa"/>
            <w:vAlign w:val="bottom"/>
          </w:tcPr>
          <w:p>
            <w:pPr>
              <w:spacing w:after="0"/>
              <w:rPr>
                <w:sz w:val="24"/>
                <w:szCs w:val="24"/>
                <w:color w:val="auto"/>
              </w:rPr>
            </w:pPr>
          </w:p>
        </w:tc>
        <w:tc>
          <w:tcPr>
            <w:tcW w:w="5800" w:type="dxa"/>
            <w:vAlign w:val="bottom"/>
            <w:gridSpan w:val="5"/>
          </w:tcPr>
          <w:p>
            <w:pPr>
              <w:ind w:left="1820"/>
              <w:spacing w:after="0"/>
              <w:rPr>
                <w:sz w:val="20"/>
                <w:szCs w:val="20"/>
                <w:color w:val="auto"/>
              </w:rPr>
            </w:pPr>
            <w:r>
              <w:rPr>
                <w:rFonts w:ascii="Times New Roman" w:cs="Times New Roman" w:eastAsia="Times New Roman" w:hAnsi="Times New Roman"/>
                <w:sz w:val="22"/>
                <w:szCs w:val="22"/>
                <w:color w:val="auto"/>
              </w:rPr>
              <w:t>By:</w:t>
            </w:r>
          </w:p>
        </w:tc>
      </w:tr>
      <w:tr>
        <w:trPr>
          <w:trHeight w:val="236"/>
        </w:trPr>
        <w:tc>
          <w:tcPr>
            <w:tcW w:w="2420" w:type="dxa"/>
            <w:vAlign w:val="bottom"/>
          </w:tcPr>
          <w:p>
            <w:pPr>
              <w:spacing w:after="0"/>
              <w:rPr>
                <w:sz w:val="20"/>
                <w:szCs w:val="20"/>
                <w:color w:val="auto"/>
              </w:rPr>
            </w:pPr>
          </w:p>
        </w:tc>
        <w:tc>
          <w:tcPr>
            <w:tcW w:w="2400" w:type="dxa"/>
            <w:vAlign w:val="bottom"/>
            <w:gridSpan w:val="2"/>
          </w:tcPr>
          <w:p>
            <w:pPr>
              <w:spacing w:after="0"/>
              <w:rPr>
                <w:sz w:val="20"/>
                <w:szCs w:val="20"/>
                <w:color w:val="auto"/>
              </w:rPr>
            </w:pPr>
          </w:p>
        </w:tc>
        <w:tc>
          <w:tcPr>
            <w:tcW w:w="2440" w:type="dxa"/>
            <w:vAlign w:val="bottom"/>
            <w:tcBorders>
              <w:top w:val="single" w:sz="8" w:color="auto"/>
            </w:tcBorders>
          </w:tcPr>
          <w:p>
            <w:pPr>
              <w:spacing w:after="0" w:line="236" w:lineRule="exact"/>
              <w:rPr>
                <w:sz w:val="20"/>
                <w:szCs w:val="20"/>
                <w:color w:val="auto"/>
              </w:rPr>
            </w:pPr>
            <w:r>
              <w:rPr>
                <w:rFonts w:ascii="Times New Roman" w:cs="Times New Roman" w:eastAsia="Times New Roman" w:hAnsi="Times New Roman"/>
                <w:sz w:val="22"/>
                <w:szCs w:val="22"/>
                <w:color w:val="auto"/>
              </w:rPr>
              <w:t>Courtney A. Tippy</w:t>
            </w:r>
          </w:p>
        </w:tc>
        <w:tc>
          <w:tcPr>
            <w:tcW w:w="960" w:type="dxa"/>
            <w:vAlign w:val="bottom"/>
            <w:gridSpan w:val="2"/>
          </w:tcPr>
          <w:p>
            <w:pPr>
              <w:spacing w:after="0"/>
              <w:rPr>
                <w:sz w:val="20"/>
                <w:szCs w:val="20"/>
                <w:color w:val="auto"/>
              </w:rPr>
            </w:pPr>
          </w:p>
        </w:tc>
      </w:tr>
      <w:tr>
        <w:trPr>
          <w:trHeight w:val="282"/>
        </w:trPr>
        <w:tc>
          <w:tcPr>
            <w:tcW w:w="24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420" w:type="dxa"/>
            <w:vAlign w:val="bottom"/>
            <w:gridSpan w:val="4"/>
          </w:tcPr>
          <w:p>
            <w:pPr>
              <w:spacing w:after="0"/>
              <w:rPr>
                <w:sz w:val="20"/>
                <w:szCs w:val="20"/>
                <w:color w:val="auto"/>
              </w:rPr>
            </w:pPr>
            <w:r>
              <w:rPr>
                <w:rFonts w:ascii="Times New Roman" w:cs="Times New Roman" w:eastAsia="Times New Roman" w:hAnsi="Times New Roman"/>
                <w:sz w:val="22"/>
                <w:szCs w:val="22"/>
                <w:color w:val="auto"/>
                <w:w w:val="97"/>
              </w:rPr>
              <w:t>Vice President and Corporate Secretary</w:t>
            </w:r>
          </w:p>
        </w:tc>
      </w:tr>
    </w:tbl>
    <w:p>
      <w:pPr>
        <w:spacing w:after="0" w:line="200" w:lineRule="exact"/>
        <w:rPr>
          <w:sz w:val="20"/>
          <w:szCs w:val="20"/>
          <w:color w:val="auto"/>
        </w:rPr>
      </w:pPr>
    </w:p>
    <w:p>
      <w:pPr>
        <w:spacing w:after="0" w:line="2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CERTIFICATE OF AUTHENTICATION</w:t>
      </w:r>
    </w:p>
    <w:p>
      <w:pPr>
        <w:spacing w:after="0" w:line="206" w:lineRule="exact"/>
        <w:rPr>
          <w:sz w:val="20"/>
          <w:szCs w:val="20"/>
          <w:color w:val="auto"/>
        </w:rPr>
      </w:pPr>
    </w:p>
    <w:p>
      <w:pPr>
        <w:ind w:left="200" w:right="219" w:firstLine="667"/>
        <w:spacing w:after="0" w:line="258" w:lineRule="auto"/>
        <w:rPr>
          <w:sz w:val="20"/>
          <w:szCs w:val="20"/>
          <w:color w:val="auto"/>
        </w:rPr>
      </w:pPr>
      <w:r>
        <w:rPr>
          <w:rFonts w:ascii="Times New Roman" w:cs="Times New Roman" w:eastAsia="Times New Roman" w:hAnsi="Times New Roman"/>
          <w:sz w:val="22"/>
          <w:szCs w:val="22"/>
          <w:color w:val="auto"/>
        </w:rPr>
        <w:t>This is one of the Securities of the series designated therein referred to in the within-mentioned Indenture.</w:t>
      </w:r>
    </w:p>
    <w:p>
      <w:pPr>
        <w:spacing w:after="0" w:line="148"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32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Date of Authentication:</w:t>
            </w:r>
          </w:p>
        </w:tc>
        <w:tc>
          <w:tcPr>
            <w:tcW w:w="5360" w:type="dxa"/>
            <w:vAlign w:val="bottom"/>
            <w:gridSpan w:val="3"/>
          </w:tcPr>
          <w:p>
            <w:pPr>
              <w:ind w:left="1100"/>
              <w:spacing w:after="0"/>
              <w:rPr>
                <w:sz w:val="20"/>
                <w:szCs w:val="20"/>
                <w:color w:val="auto"/>
              </w:rPr>
            </w:pPr>
            <w:r>
              <w:rPr>
                <w:rFonts w:ascii="Times New Roman" w:cs="Times New Roman" w:eastAsia="Times New Roman" w:hAnsi="Times New Roman"/>
                <w:sz w:val="22"/>
                <w:szCs w:val="22"/>
                <w:color w:val="auto"/>
                <w:w w:val="99"/>
              </w:rPr>
              <w:t>The Bank of New York Mellon Trust Company,</w:t>
            </w:r>
          </w:p>
        </w:tc>
      </w:tr>
      <w:tr>
        <w:trPr>
          <w:trHeight w:val="282"/>
        </w:trPr>
        <w:tc>
          <w:tcPr>
            <w:tcW w:w="3220" w:type="dxa"/>
            <w:vAlign w:val="bottom"/>
          </w:tcPr>
          <w:p>
            <w:pPr>
              <w:spacing w:after="0"/>
              <w:rPr>
                <w:sz w:val="24"/>
                <w:szCs w:val="24"/>
                <w:color w:val="auto"/>
              </w:rPr>
            </w:pPr>
          </w:p>
        </w:tc>
        <w:tc>
          <w:tcPr>
            <w:tcW w:w="5360" w:type="dxa"/>
            <w:vAlign w:val="bottom"/>
            <w:gridSpan w:val="3"/>
          </w:tcPr>
          <w:p>
            <w:pPr>
              <w:ind w:left="1100"/>
              <w:spacing w:after="0"/>
              <w:rPr>
                <w:sz w:val="20"/>
                <w:szCs w:val="20"/>
                <w:color w:val="auto"/>
              </w:rPr>
            </w:pPr>
            <w:r>
              <w:rPr>
                <w:rFonts w:ascii="Times New Roman" w:cs="Times New Roman" w:eastAsia="Times New Roman" w:hAnsi="Times New Roman"/>
                <w:sz w:val="22"/>
                <w:szCs w:val="22"/>
                <w:color w:val="auto"/>
              </w:rPr>
              <w:t>N.A., as Trustee</w:t>
            </w:r>
          </w:p>
        </w:tc>
      </w:tr>
      <w:tr>
        <w:trPr>
          <w:trHeight w:val="434"/>
        </w:trPr>
        <w:tc>
          <w:tcPr>
            <w:tcW w:w="3220" w:type="dxa"/>
            <w:vAlign w:val="bottom"/>
          </w:tcPr>
          <w:p>
            <w:pPr>
              <w:spacing w:after="0"/>
              <w:rPr>
                <w:sz w:val="24"/>
                <w:szCs w:val="24"/>
                <w:color w:val="auto"/>
              </w:rPr>
            </w:pPr>
          </w:p>
        </w:tc>
        <w:tc>
          <w:tcPr>
            <w:tcW w:w="5360" w:type="dxa"/>
            <w:vAlign w:val="bottom"/>
            <w:gridSpan w:val="3"/>
          </w:tcPr>
          <w:p>
            <w:pPr>
              <w:ind w:left="1100"/>
              <w:spacing w:after="0"/>
              <w:rPr>
                <w:sz w:val="20"/>
                <w:szCs w:val="20"/>
                <w:color w:val="auto"/>
              </w:rPr>
            </w:pPr>
            <w:r>
              <w:rPr>
                <w:rFonts w:ascii="Times New Roman" w:cs="Times New Roman" w:eastAsia="Times New Roman" w:hAnsi="Times New Roman"/>
                <w:sz w:val="22"/>
                <w:szCs w:val="22"/>
                <w:color w:val="auto"/>
              </w:rPr>
              <w:t>By: ​</w:t>
            </w:r>
          </w:p>
        </w:tc>
      </w:tr>
      <w:tr>
        <w:trPr>
          <w:trHeight w:val="236"/>
        </w:trPr>
        <w:tc>
          <w:tcPr>
            <w:tcW w:w="3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520" w:type="dxa"/>
            <w:vAlign w:val="bottom"/>
            <w:tcBorders>
              <w:top w:val="single" w:sz="8" w:color="auto"/>
            </w:tcBorders>
          </w:tcPr>
          <w:p>
            <w:pPr>
              <w:ind w:left="80"/>
              <w:spacing w:after="0" w:line="236" w:lineRule="exact"/>
              <w:rPr>
                <w:sz w:val="20"/>
                <w:szCs w:val="20"/>
                <w:color w:val="auto"/>
              </w:rPr>
            </w:pPr>
            <w:r>
              <w:rPr>
                <w:rFonts w:ascii="Times New Roman" w:cs="Times New Roman" w:eastAsia="Times New Roman" w:hAnsi="Times New Roman"/>
                <w:sz w:val="22"/>
                <w:szCs w:val="22"/>
                <w:color w:val="auto"/>
              </w:rPr>
              <w:t>Michael C. Jenkins</w:t>
            </w:r>
          </w:p>
        </w:tc>
        <w:tc>
          <w:tcPr>
            <w:tcW w:w="320" w:type="dxa"/>
            <w:vAlign w:val="bottom"/>
          </w:tcPr>
          <w:p>
            <w:pPr>
              <w:spacing w:after="0"/>
              <w:rPr>
                <w:sz w:val="20"/>
                <w:szCs w:val="20"/>
                <w:color w:val="auto"/>
              </w:rPr>
            </w:pPr>
          </w:p>
        </w:tc>
      </w:tr>
      <w:tr>
        <w:trPr>
          <w:trHeight w:val="282"/>
        </w:trPr>
        <w:tc>
          <w:tcPr>
            <w:tcW w:w="3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8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Vice President</w:t>
            </w:r>
          </w:p>
        </w:tc>
      </w:tr>
      <w:tr>
        <w:trPr>
          <w:trHeight w:val="1494"/>
        </w:trPr>
        <w:tc>
          <w:tcPr>
            <w:tcW w:w="32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2" w:right="1440" w:bottom="1440" w:gutter="0" w:footer="0" w:header="0"/>
        </w:sectPr>
      </w:pPr>
    </w:p>
    <w:bookmarkStart w:id="75" w:name="page76"/>
    <w:bookmarkEnd w:id="75"/>
    <w:p>
      <w:pPr>
        <w:jc w:val="center"/>
        <w:ind w:right="19"/>
        <w:spacing w:after="0"/>
        <w:rPr>
          <w:sz w:val="20"/>
          <w:szCs w:val="20"/>
          <w:color w:val="auto"/>
        </w:rPr>
      </w:pPr>
      <w:r>
        <w:rPr>
          <w:rFonts w:ascii="Times New Roman" w:cs="Times New Roman" w:eastAsia="Times New Roman" w:hAnsi="Times New Roman"/>
          <w:sz w:val="22"/>
          <w:szCs w:val="22"/>
          <w:color w:val="auto"/>
        </w:rPr>
        <w:t>REVERSE OF BOOK-ENTRY SECURITY</w:t>
      </w:r>
    </w:p>
    <w:p>
      <w:pPr>
        <w:spacing w:after="0" w:line="23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WASTE MANAGEMENT, INC.</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4.950% SENIOR NOTES DUE 2031</w:t>
      </w:r>
    </w:p>
    <w:p>
      <w:pPr>
        <w:spacing w:after="0" w:line="233" w:lineRule="exact"/>
        <w:rPr>
          <w:sz w:val="20"/>
          <w:szCs w:val="20"/>
          <w:color w:val="auto"/>
        </w:rPr>
      </w:pPr>
    </w:p>
    <w:p>
      <w:pPr>
        <w:jc w:val="both"/>
        <w:ind w:left="200" w:right="219" w:firstLine="667"/>
        <w:spacing w:after="0" w:line="233" w:lineRule="auto"/>
        <w:rPr>
          <w:sz w:val="20"/>
          <w:szCs w:val="20"/>
          <w:color w:val="auto"/>
        </w:rPr>
      </w:pPr>
      <w:r>
        <w:rPr>
          <w:rFonts w:ascii="Times New Roman" w:cs="Times New Roman" w:eastAsia="Times New Roman" w:hAnsi="Times New Roman"/>
          <w:sz w:val="22"/>
          <w:szCs w:val="22"/>
          <w:color w:val="auto"/>
        </w:rPr>
        <w:t>This Security is one of a duly authorized issue of unsecured debentures, notes or other evidences of indebtedness of the Company (the “Debt Securities”) of the series hereinafter specified, all issued or to be issued under and pursuant to the Indenture, to which Indenture reference is hereby made for a description of the rights, limitations of rights, obligations, duties and immunities thereunder of the Trustee, the Company and the Holders of the Debt Securities. The Debt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4.950% Senior Notes due 2031 of the Company, in initial aggregate principal amount of $750,000,000 (the “Securities”).</w:t>
      </w:r>
    </w:p>
    <w:p>
      <w:pPr>
        <w:spacing w:after="0" w:line="183" w:lineRule="exact"/>
        <w:rPr>
          <w:sz w:val="20"/>
          <w:szCs w:val="20"/>
          <w:color w:val="auto"/>
        </w:rPr>
      </w:pPr>
    </w:p>
    <w:p>
      <w:pPr>
        <w:ind w:left="1500" w:hanging="643"/>
        <w:spacing w:after="0"/>
        <w:tabs>
          <w:tab w:leader="none" w:pos="150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Interest.</w:t>
      </w:r>
    </w:p>
    <w:p>
      <w:pPr>
        <w:spacing w:after="0" w:line="210" w:lineRule="exact"/>
        <w:rPr>
          <w:sz w:val="20"/>
          <w:szCs w:val="20"/>
          <w:color w:val="auto"/>
        </w:rPr>
      </w:pPr>
    </w:p>
    <w:p>
      <w:pPr>
        <w:jc w:val="both"/>
        <w:ind w:left="200" w:right="219" w:firstLine="667"/>
        <w:spacing w:after="0" w:line="258" w:lineRule="auto"/>
        <w:rPr>
          <w:sz w:val="20"/>
          <w:szCs w:val="20"/>
          <w:color w:val="auto"/>
        </w:rPr>
      </w:pPr>
      <w:r>
        <w:rPr>
          <w:rFonts w:ascii="Times New Roman" w:cs="Times New Roman" w:eastAsia="Times New Roman" w:hAnsi="Times New Roman"/>
          <w:sz w:val="22"/>
          <w:szCs w:val="22"/>
          <w:color w:val="auto"/>
        </w:rPr>
        <w:t>The Company promises to pay interest on the principal amount of this Security at the rate of 4.950% per annum.</w:t>
      </w:r>
    </w:p>
    <w:p>
      <w:pPr>
        <w:spacing w:after="0" w:line="158" w:lineRule="exact"/>
        <w:rPr>
          <w:sz w:val="20"/>
          <w:szCs w:val="20"/>
          <w:color w:val="auto"/>
        </w:rPr>
      </w:pPr>
    </w:p>
    <w:p>
      <w:pPr>
        <w:jc w:val="both"/>
        <w:ind w:left="200" w:right="219" w:firstLine="667"/>
        <w:spacing w:after="0" w:line="235" w:lineRule="auto"/>
        <w:rPr>
          <w:sz w:val="20"/>
          <w:szCs w:val="20"/>
          <w:color w:val="auto"/>
        </w:rPr>
      </w:pPr>
      <w:r>
        <w:rPr>
          <w:rFonts w:ascii="Times New Roman" w:cs="Times New Roman" w:eastAsia="Times New Roman" w:hAnsi="Times New Roman"/>
          <w:sz w:val="22"/>
          <w:szCs w:val="22"/>
          <w:color w:val="auto"/>
        </w:rPr>
        <w:t>The Company will pay interest semi-annually on January 3 and July 3 of each year (each an “Interest Payment Date”), commencing January 3, 2025. Interest on the Securities will accrue from the most recent date to which interest has been paid or, if no interest has been paid on the Securities, from July 3, 2024. Interest will be computed on the basis of a 360-day year consisting of twelve 30-day months. The Company shall pay interest (including post-petition interest in any proceeding under any applicable bankruptcy laws) on overdue installments of interest (without regard to any applicable grace period) and on overdue principal and premium, if any, from time to time on demand at the rate of 4.950% per annum, in each case to the extent lawful.</w:t>
      </w:r>
    </w:p>
    <w:p>
      <w:pPr>
        <w:spacing w:after="0" w:line="174" w:lineRule="exact"/>
        <w:rPr>
          <w:sz w:val="20"/>
          <w:szCs w:val="20"/>
          <w:color w:val="auto"/>
        </w:rPr>
      </w:pPr>
    </w:p>
    <w:p>
      <w:pPr>
        <w:ind w:left="1500" w:hanging="643"/>
        <w:spacing w:after="0"/>
        <w:tabs>
          <w:tab w:leader="none" w:pos="150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Method of Payment.</w:t>
      </w:r>
    </w:p>
    <w:p>
      <w:pPr>
        <w:spacing w:after="0" w:line="210" w:lineRule="exact"/>
        <w:rPr>
          <w:sz w:val="20"/>
          <w:szCs w:val="20"/>
          <w:color w:val="auto"/>
        </w:rPr>
      </w:pPr>
    </w:p>
    <w:p>
      <w:pPr>
        <w:jc w:val="both"/>
        <w:ind w:left="200" w:right="219" w:firstLine="667"/>
        <w:spacing w:after="0" w:line="244" w:lineRule="auto"/>
        <w:rPr>
          <w:sz w:val="20"/>
          <w:szCs w:val="20"/>
          <w:color w:val="auto"/>
        </w:rPr>
      </w:pPr>
      <w:r>
        <w:rPr>
          <w:rFonts w:ascii="Times New Roman" w:cs="Times New Roman" w:eastAsia="Times New Roman" w:hAnsi="Times New Roman"/>
          <w:sz w:val="21"/>
          <w:szCs w:val="21"/>
          <w:color w:val="auto"/>
        </w:rPr>
        <w:t>The Company shall pay interest on the Securities (except Defaulted Interest) to the persons who are the registered Holders at the close of business on the Regular Record Date immediately preceding the Interest Payment Date. Any such interest not so punctually paid or duly provided for (“Defaulted Interest”)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Except as provided below, the Company shall pay principal and interest in such coin or currency of the United States of America as at the time of payment shall be legal tender for payment of public and private debts (“U.S. Legal Tender”). Payments in respect of a Book-Entry Security (including principal, premium, if any, and interest) will be made by wire transfer of immediately available funds to the accounts specified by the Depository. Payments in respect of Securities in definitive form (including principal, premium,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494030</wp:posOffset>
            </wp:positionV>
            <wp:extent cx="545211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76" w:name="page77"/>
    <w:bookmarkEnd w:id="76"/>
    <w:p>
      <w:pPr>
        <w:jc w:val="both"/>
        <w:ind w:left="200" w:right="219"/>
        <w:spacing w:after="0" w:line="236" w:lineRule="auto"/>
        <w:rPr>
          <w:sz w:val="20"/>
          <w:szCs w:val="20"/>
          <w:color w:val="auto"/>
        </w:rPr>
      </w:pPr>
      <w:r>
        <w:rPr>
          <w:rFonts w:ascii="Times New Roman" w:cs="Times New Roman" w:eastAsia="Times New Roman" w:hAnsi="Times New Roman"/>
          <w:sz w:val="22"/>
          <w:szCs w:val="22"/>
          <w:color w:val="auto"/>
        </w:rPr>
        <w:t>any, and interest) will be made at the office or agency of the Company maintained for such purpose within the Borough of Manhattan, the City of New York, which initially will be at the corporate trust office of The Bank of New York Mellon, located at 240 Greenwich Street, New York, New York, 10286 or at the option of the Company, payment of interest may be made by check mailed to the Holders on the Regular Record Date or on the Special Record Date at their addresses set forth in the Security Register of Holders.</w:t>
      </w:r>
    </w:p>
    <w:p>
      <w:pPr>
        <w:spacing w:after="0" w:line="178" w:lineRule="exact"/>
        <w:rPr>
          <w:sz w:val="20"/>
          <w:szCs w:val="20"/>
          <w:color w:val="auto"/>
        </w:rPr>
      </w:pPr>
    </w:p>
    <w:p>
      <w:pPr>
        <w:ind w:left="1500" w:hanging="643"/>
        <w:spacing w:after="0"/>
        <w:tabs>
          <w:tab w:leader="none" w:pos="150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Paying Agent and Registrar.</w:t>
      </w:r>
    </w:p>
    <w:p>
      <w:pPr>
        <w:spacing w:after="0" w:line="210" w:lineRule="exact"/>
        <w:rPr>
          <w:sz w:val="20"/>
          <w:szCs w:val="20"/>
          <w:color w:val="auto"/>
        </w:rPr>
      </w:pPr>
    </w:p>
    <w:p>
      <w:pPr>
        <w:jc w:val="both"/>
        <w:ind w:left="200" w:right="219" w:firstLine="667"/>
        <w:spacing w:after="0" w:line="239" w:lineRule="auto"/>
        <w:rPr>
          <w:sz w:val="20"/>
          <w:szCs w:val="20"/>
          <w:color w:val="auto"/>
        </w:rPr>
      </w:pPr>
      <w:r>
        <w:rPr>
          <w:rFonts w:ascii="Times New Roman" w:cs="Times New Roman" w:eastAsia="Times New Roman" w:hAnsi="Times New Roman"/>
          <w:sz w:val="22"/>
          <w:szCs w:val="22"/>
          <w:color w:val="auto"/>
        </w:rPr>
        <w:t>Initially, The Bank of New York Mellon Trust Company, N.A. will act as Paying Agent and Registrar. The Company may change any Paying Agent, Registrar or co-Registrar at any time upon notice to the Trustee and the Holders. The Company or any of its Subsidiaries may, subject to certain exceptions, act as Paying Agent, Registrar or co-Registrar.</w:t>
      </w:r>
    </w:p>
    <w:p>
      <w:pPr>
        <w:spacing w:after="0" w:line="176" w:lineRule="exact"/>
        <w:rPr>
          <w:sz w:val="20"/>
          <w:szCs w:val="20"/>
          <w:color w:val="auto"/>
        </w:rPr>
      </w:pPr>
    </w:p>
    <w:p>
      <w:pPr>
        <w:ind w:left="1500" w:hanging="643"/>
        <w:spacing w:after="0"/>
        <w:tabs>
          <w:tab w:leader="none" w:pos="150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Indenture.</w:t>
      </w:r>
    </w:p>
    <w:p>
      <w:pPr>
        <w:spacing w:after="0" w:line="210" w:lineRule="exact"/>
        <w:rPr>
          <w:sz w:val="20"/>
          <w:szCs w:val="20"/>
          <w:color w:val="auto"/>
        </w:rPr>
      </w:pPr>
    </w:p>
    <w:p>
      <w:pPr>
        <w:jc w:val="both"/>
        <w:ind w:left="200" w:right="219" w:firstLine="667"/>
        <w:spacing w:after="0" w:line="258" w:lineRule="auto"/>
        <w:rPr>
          <w:sz w:val="20"/>
          <w:szCs w:val="20"/>
          <w:color w:val="auto"/>
        </w:rPr>
      </w:pPr>
      <w:r>
        <w:rPr>
          <w:rFonts w:ascii="Times New Roman" w:cs="Times New Roman" w:eastAsia="Times New Roman" w:hAnsi="Times New Roman"/>
          <w:sz w:val="22"/>
          <w:szCs w:val="22"/>
          <w:color w:val="auto"/>
        </w:rPr>
        <w:t>This Security is one of a duly authorized issue of Debt Securities of the Company issued and to be issued in one or more series under the Indenture.</w:t>
      </w:r>
    </w:p>
    <w:p>
      <w:pPr>
        <w:spacing w:after="0" w:line="158" w:lineRule="exact"/>
        <w:rPr>
          <w:sz w:val="20"/>
          <w:szCs w:val="20"/>
          <w:color w:val="auto"/>
        </w:rPr>
      </w:pPr>
    </w:p>
    <w:p>
      <w:pPr>
        <w:jc w:val="both"/>
        <w:ind w:left="200" w:right="219" w:firstLine="667"/>
        <w:spacing w:after="0" w:line="233" w:lineRule="auto"/>
        <w:rPr>
          <w:sz w:val="20"/>
          <w:szCs w:val="20"/>
          <w:color w:val="auto"/>
        </w:rPr>
      </w:pPr>
      <w:r>
        <w:rPr>
          <w:rFonts w:ascii="Times New Roman" w:cs="Times New Roman" w:eastAsia="Times New Roman" w:hAnsi="Times New Roman"/>
          <w:sz w:val="22"/>
          <w:szCs w:val="22"/>
          <w:color w:val="auto"/>
        </w:rPr>
        <w:t>Capitalized terms herein are used as defined in the Indenture unless otherwise defined herein. The terms of the Securities include those stated in the Indenture and all indentures supplemental thereto, those made part of the Indenture by reference to the Trust Indenture Act of 1939, as amended, as in effect on the date of the Indenture, and those terms stated in the Officers’ Certificate to the Trustee, duly authorized by resolutions of the Board of Directors of the Company on March 1, 2022 and August 21, 2023 (the “Resolutions”) and the written consent of the Sole Director of Waste Management Holdings, Inc. on June 18, 2024 (the “Consent”). The Securities are subject to all such terms, and Holders of Securities are referred to the Indenture, all indentures supplemental thereto, said Act, said Resolutions and said Consent and Officers’ Certificate for a statement of them. The Securities of this series are general unsecured obligations of the Company limited with an initial aggregate principal amount of $750,000,000.</w:t>
      </w:r>
    </w:p>
    <w:p>
      <w:pPr>
        <w:spacing w:after="0" w:line="183" w:lineRule="exact"/>
        <w:rPr>
          <w:sz w:val="20"/>
          <w:szCs w:val="20"/>
          <w:color w:val="auto"/>
        </w:rPr>
      </w:pPr>
    </w:p>
    <w:p>
      <w:pPr>
        <w:ind w:left="1500" w:hanging="643"/>
        <w:spacing w:after="0"/>
        <w:tabs>
          <w:tab w:leader="none" w:pos="150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Redemption.</w:t>
      </w:r>
    </w:p>
    <w:p>
      <w:pPr>
        <w:spacing w:after="0" w:line="210" w:lineRule="exact"/>
        <w:rPr>
          <w:sz w:val="20"/>
          <w:szCs w:val="20"/>
          <w:color w:val="auto"/>
        </w:rPr>
      </w:pPr>
    </w:p>
    <w:p>
      <w:pPr>
        <w:jc w:val="both"/>
        <w:ind w:left="200" w:right="219" w:firstLine="667"/>
        <w:spacing w:after="0" w:line="244" w:lineRule="auto"/>
        <w:rPr>
          <w:sz w:val="20"/>
          <w:szCs w:val="20"/>
          <w:color w:val="auto"/>
        </w:rPr>
      </w:pPr>
      <w:r>
        <w:rPr>
          <w:rFonts w:ascii="Times New Roman" w:cs="Times New Roman" w:eastAsia="Times New Roman" w:hAnsi="Times New Roman"/>
          <w:sz w:val="22"/>
          <w:szCs w:val="22"/>
          <w:color w:val="auto"/>
        </w:rPr>
        <w:t>Prior to the Par Call Date, the Company may redeem the Securities at its option, in whole or in part, at any time and from time to time, at a Redemption Price (expressed as a percentage of principal amount and rounded to three decimal places) equal to the greater of:</w:t>
      </w:r>
    </w:p>
    <w:p>
      <w:pPr>
        <w:spacing w:after="0" w:line="173" w:lineRule="exact"/>
        <w:rPr>
          <w:sz w:val="20"/>
          <w:szCs w:val="20"/>
          <w:color w:val="auto"/>
        </w:rPr>
      </w:pPr>
    </w:p>
    <w:p>
      <w:pPr>
        <w:jc w:val="both"/>
        <w:ind w:left="860" w:right="219" w:firstLine="15"/>
        <w:spacing w:after="0" w:line="238" w:lineRule="auto"/>
        <w:tabs>
          <w:tab w:leader="none" w:pos="1192"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the sum of the present values of the remaining scheduled payments of principal and interest thereon discounted to the Redemption Date (assuming the Securities matured on the Par Call Date) on a semi-annual basis (assuming a 360-day year consisting of twelve 30-day months) at the Treasury Rate plus 15 basis points, less (b) interest accrued to the Redemption Date, and</w:t>
      </w:r>
    </w:p>
    <w:p>
      <w:pPr>
        <w:spacing w:after="0" w:line="176" w:lineRule="exact"/>
        <w:rPr>
          <w:rFonts w:ascii="Times New Roman" w:cs="Times New Roman" w:eastAsia="Times New Roman" w:hAnsi="Times New Roman"/>
          <w:sz w:val="22"/>
          <w:szCs w:val="22"/>
          <w:color w:val="auto"/>
        </w:rPr>
      </w:pPr>
    </w:p>
    <w:p>
      <w:pPr>
        <w:ind w:left="1180" w:hanging="305"/>
        <w:spacing w:after="0"/>
        <w:tabs>
          <w:tab w:leader="none" w:pos="118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 of the principal amount of the Securities to be redeemed,</w:t>
      </w: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plus, in either case, accrued and unpaid interest thereon to the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645160</wp:posOffset>
            </wp:positionV>
            <wp:extent cx="545211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77" w:name="page78"/>
    <w:bookmarkEnd w:id="77"/>
    <w:p>
      <w:pPr>
        <w:jc w:val="both"/>
        <w:ind w:left="200" w:right="219" w:firstLine="667"/>
        <w:spacing w:after="0"/>
        <w:rPr>
          <w:sz w:val="20"/>
          <w:szCs w:val="20"/>
          <w:color w:val="auto"/>
        </w:rPr>
      </w:pPr>
      <w:r>
        <w:rPr>
          <w:rFonts w:ascii="Times New Roman" w:cs="Times New Roman" w:eastAsia="Times New Roman" w:hAnsi="Times New Roman"/>
          <w:sz w:val="22"/>
          <w:szCs w:val="22"/>
          <w:color w:val="auto"/>
        </w:rPr>
        <w:t>On or after the Par Call Date, the Company may redeem the Securities at its option, in whole or in part, at any time and from time to time, at a Redemption Price equal to 100% of the principal amount of the Securities to be redeemed, plus accrued and unpaid interest thereon to the Redemption Date.</w:t>
      </w:r>
    </w:p>
    <w:p>
      <w:pPr>
        <w:spacing w:after="0" w:line="17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“Par Call Date” means May 3, 2031.</w:t>
      </w:r>
    </w:p>
    <w:p>
      <w:pPr>
        <w:spacing w:after="0" w:line="206" w:lineRule="exact"/>
        <w:rPr>
          <w:sz w:val="20"/>
          <w:szCs w:val="20"/>
          <w:color w:val="auto"/>
        </w:rPr>
      </w:pPr>
    </w:p>
    <w:p>
      <w:pPr>
        <w:jc w:val="both"/>
        <w:ind w:left="200" w:right="219" w:firstLine="667"/>
        <w:spacing w:after="0" w:line="258" w:lineRule="auto"/>
        <w:rPr>
          <w:sz w:val="20"/>
          <w:szCs w:val="20"/>
          <w:color w:val="auto"/>
        </w:rPr>
      </w:pPr>
      <w:r>
        <w:rPr>
          <w:rFonts w:ascii="Times New Roman" w:cs="Times New Roman" w:eastAsia="Times New Roman" w:hAnsi="Times New Roman"/>
          <w:sz w:val="22"/>
          <w:szCs w:val="22"/>
          <w:color w:val="auto"/>
        </w:rPr>
        <w:t>“Treasury Rate” means, with respect to any Redemption Date, the yield determined by the Company in accordance with the following two paragraphs.</w:t>
      </w:r>
    </w:p>
    <w:p>
      <w:pPr>
        <w:spacing w:after="0" w:line="158" w:lineRule="exact"/>
        <w:rPr>
          <w:sz w:val="20"/>
          <w:szCs w:val="20"/>
          <w:color w:val="auto"/>
        </w:rPr>
      </w:pPr>
    </w:p>
    <w:p>
      <w:pPr>
        <w:jc w:val="both"/>
        <w:ind w:left="200" w:right="219" w:firstLine="667"/>
        <w:spacing w:after="0" w:line="243" w:lineRule="auto"/>
        <w:rPr>
          <w:sz w:val="20"/>
          <w:szCs w:val="20"/>
          <w:color w:val="auto"/>
        </w:rPr>
      </w:pPr>
      <w:r>
        <w:rPr>
          <w:rFonts w:ascii="Times New Roman" w:cs="Times New Roman" w:eastAsia="Times New Roman" w:hAnsi="Times New Roman"/>
          <w:sz w:val="21"/>
          <w:szCs w:val="21"/>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 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86" w:lineRule="exact"/>
        <w:rPr>
          <w:sz w:val="20"/>
          <w:szCs w:val="20"/>
          <w:color w:val="auto"/>
        </w:rPr>
      </w:pPr>
    </w:p>
    <w:p>
      <w:pPr>
        <w:jc w:val="both"/>
        <w:ind w:left="200" w:right="219" w:firstLine="667"/>
        <w:spacing w:after="0" w:line="244" w:lineRule="auto"/>
        <w:rPr>
          <w:sz w:val="20"/>
          <w:szCs w:val="20"/>
          <w:color w:val="auto"/>
        </w:rPr>
      </w:pPr>
      <w:r>
        <w:rPr>
          <w:rFonts w:ascii="Times New Roman" w:cs="Times New Roman" w:eastAsia="Times New Roman" w:hAnsi="Times New Roman"/>
          <w:sz w:val="21"/>
          <w:szCs w:val="21"/>
          <w:color w:val="auto"/>
        </w:rPr>
        <w:t>If on the third Business Day preceding the Redemption Date H.15 TCM or any successor designation or publication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488950</wp:posOffset>
            </wp:positionV>
            <wp:extent cx="545211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78" w:name="page79"/>
    <w:bookmarkEnd w:id="78"/>
    <w:p>
      <w:pPr>
        <w:jc w:val="both"/>
        <w:ind w:left="200" w:right="219"/>
        <w:spacing w:after="0" w:line="244" w:lineRule="auto"/>
        <w:rPr>
          <w:sz w:val="20"/>
          <w:szCs w:val="20"/>
          <w:color w:val="auto"/>
        </w:rPr>
      </w:pPr>
      <w:r>
        <w:rPr>
          <w:rFonts w:ascii="Times New Roman" w:cs="Times New Roman" w:eastAsia="Times New Roman" w:hAnsi="Times New Roman"/>
          <w:sz w:val="22"/>
          <w:szCs w:val="22"/>
          <w:color w:val="auto"/>
        </w:rPr>
        <w:t>security shall be based upon the average of the bid and asked prices (expressed as a percentage of principal amount) at 11:00 a.m., New York City time, of such United States Treasury security, and rounded to three decimal places.</w:t>
      </w:r>
    </w:p>
    <w:p>
      <w:pPr>
        <w:spacing w:after="0" w:line="174" w:lineRule="exact"/>
        <w:rPr>
          <w:sz w:val="20"/>
          <w:szCs w:val="20"/>
          <w:color w:val="auto"/>
        </w:rPr>
      </w:pPr>
    </w:p>
    <w:p>
      <w:pPr>
        <w:jc w:val="both"/>
        <w:ind w:left="200" w:right="219" w:firstLine="667"/>
        <w:spacing w:after="0" w:line="238" w:lineRule="auto"/>
        <w:rPr>
          <w:sz w:val="20"/>
          <w:szCs w:val="20"/>
          <w:color w:val="auto"/>
        </w:rPr>
      </w:pPr>
      <w:r>
        <w:rPr>
          <w:rFonts w:ascii="Times New Roman" w:cs="Times New Roman" w:eastAsia="Times New Roman" w:hAnsi="Times New Roman"/>
          <w:sz w:val="22"/>
          <w:szCs w:val="22"/>
          <w:color w:val="auto"/>
        </w:rPr>
        <w:t>The Company’s actions and determinations in determining the Redemption Price shall be conclusive and binding for all purposes, absent manifest error. The Company will notify the Trustee of the Redemption Price promptly after the calculation thereof and the Trustee shall not be responsible or liable for any calculation of the Redemption Price or of any component thereof, or for determining whether manifest error has occurred.</w:t>
      </w:r>
    </w:p>
    <w:p>
      <w:pPr>
        <w:spacing w:after="0" w:line="177" w:lineRule="exact"/>
        <w:rPr>
          <w:sz w:val="20"/>
          <w:szCs w:val="20"/>
          <w:color w:val="auto"/>
        </w:rPr>
      </w:pPr>
    </w:p>
    <w:p>
      <w:pPr>
        <w:jc w:val="both"/>
        <w:ind w:left="200" w:right="219" w:firstLine="667"/>
        <w:spacing w:after="0" w:line="244" w:lineRule="auto"/>
        <w:rPr>
          <w:sz w:val="20"/>
          <w:szCs w:val="20"/>
          <w:color w:val="auto"/>
        </w:rPr>
      </w:pPr>
      <w:r>
        <w:rPr>
          <w:rFonts w:ascii="Times New Roman" w:cs="Times New Roman" w:eastAsia="Times New Roman" w:hAnsi="Times New Roman"/>
          <w:sz w:val="21"/>
          <w:szCs w:val="21"/>
          <w:color w:val="auto"/>
        </w:rPr>
        <w:t>Securities called for redemption become due on the Redemption Date. Notices of redemption will be mailed or electronically delivered (or otherwise transmitted in accordance with the Depositary’s procedures) at least 10 but not more than 60 days before the Redemption Date to each holder of record of the Securities to be redeemed at its registered address. The notice of redemption for the Securities will state, among other things, the amount of Securities to be redeemed, the Redemption Date, the Redemption Price or, if not ascertainable, the manner of determining the Redemption Price and the place(s) that payment will be made upon presentation and surrender of Securities to be redeemed. Unless the Company defaults in payment of the Redemption Price, interest will cease to accrue on any Securities that have been called for redemption at the Redemption Date. If less than all the Securities are redeemed at any time, the Trustee will select the Securities to be redeemed on a pro rata basis, by lot or by such other method as the Trustee in its sole discretion deems appropriate and fair. In the case of Securities in global form, the Depositary will determine the allocation of the Redemption Price among beneficial owners in such global Securities in accordance with the Depositary’s applicable procedures.</w:t>
      </w:r>
    </w:p>
    <w:p>
      <w:pPr>
        <w:spacing w:after="0" w:line="181" w:lineRule="exact"/>
        <w:rPr>
          <w:sz w:val="20"/>
          <w:szCs w:val="20"/>
          <w:color w:val="auto"/>
        </w:rPr>
      </w:pPr>
    </w:p>
    <w:p>
      <w:pPr>
        <w:jc w:val="both"/>
        <w:ind w:left="200" w:right="219" w:firstLine="667"/>
        <w:spacing w:after="0" w:line="258" w:lineRule="auto"/>
        <w:rPr>
          <w:sz w:val="20"/>
          <w:szCs w:val="20"/>
          <w:color w:val="auto"/>
        </w:rPr>
      </w:pPr>
      <w:r>
        <w:rPr>
          <w:rFonts w:ascii="Times New Roman" w:cs="Times New Roman" w:eastAsia="Times New Roman" w:hAnsi="Times New Roman"/>
          <w:sz w:val="22"/>
          <w:szCs w:val="22"/>
          <w:color w:val="auto"/>
        </w:rPr>
        <w:t>Except as set forth above, the Securities will not be redeemable prior to their Stated Maturity and will not be entitled to the benefit of any sinking fund.</w:t>
      </w:r>
    </w:p>
    <w:p>
      <w:pPr>
        <w:spacing w:after="0" w:line="158" w:lineRule="exact"/>
        <w:rPr>
          <w:sz w:val="20"/>
          <w:szCs w:val="20"/>
          <w:color w:val="auto"/>
        </w:rPr>
      </w:pPr>
    </w:p>
    <w:p>
      <w:pPr>
        <w:jc w:val="both"/>
        <w:ind w:left="200" w:right="219" w:firstLine="667"/>
        <w:spacing w:after="0" w:line="258" w:lineRule="auto"/>
        <w:rPr>
          <w:sz w:val="20"/>
          <w:szCs w:val="20"/>
          <w:color w:val="auto"/>
        </w:rPr>
      </w:pPr>
      <w:r>
        <w:rPr>
          <w:rFonts w:ascii="Times New Roman" w:cs="Times New Roman" w:eastAsia="Times New Roman" w:hAnsi="Times New Roman"/>
          <w:sz w:val="22"/>
          <w:szCs w:val="22"/>
          <w:color w:val="auto"/>
        </w:rPr>
        <w:t>The Securities may be redeemed in part in a minimum principal amount of $2,000, or any integral multiple of $1,000 in excess thereof.</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Any such redemption will also comply with Article Eleven of the Indenture.</w:t>
      </w:r>
    </w:p>
    <w:p>
      <w:pPr>
        <w:spacing w:after="0" w:line="202" w:lineRule="exact"/>
        <w:rPr>
          <w:sz w:val="20"/>
          <w:szCs w:val="20"/>
          <w:color w:val="auto"/>
        </w:rPr>
      </w:pPr>
    </w:p>
    <w:p>
      <w:pPr>
        <w:ind w:left="1500" w:hanging="643"/>
        <w:spacing w:after="0"/>
        <w:tabs>
          <w:tab w:leader="none" w:pos="150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Change of Control Offer.</w:t>
      </w:r>
    </w:p>
    <w:p>
      <w:pPr>
        <w:spacing w:after="0" w:line="210" w:lineRule="exact"/>
        <w:rPr>
          <w:sz w:val="20"/>
          <w:szCs w:val="20"/>
          <w:color w:val="auto"/>
        </w:rPr>
      </w:pPr>
    </w:p>
    <w:p>
      <w:pPr>
        <w:jc w:val="both"/>
        <w:ind w:left="200" w:right="219" w:firstLine="648"/>
        <w:spacing w:after="0" w:line="234" w:lineRule="auto"/>
        <w:rPr>
          <w:sz w:val="20"/>
          <w:szCs w:val="20"/>
          <w:color w:val="auto"/>
        </w:rPr>
      </w:pPr>
      <w:r>
        <w:rPr>
          <w:rFonts w:ascii="Times New Roman" w:cs="Times New Roman" w:eastAsia="Times New Roman" w:hAnsi="Times New Roman"/>
          <w:sz w:val="22"/>
          <w:szCs w:val="22"/>
          <w:color w:val="auto"/>
        </w:rPr>
        <w:t>If a Change of Control Triggering Event occurs, unless the Company has exercised its option to redeem the Securities as described in Section 5, the Company shall make an offer (a “Change of Control Offer”) to each Holder of the Securities to repurchase all or any part (equal to $2,000 or an integral multiple of $1,000 in excess thereof) of that Holder’s Securities on the terms set forth herein. In a Change of Control Offer, the Company shall offer payment in cash equal to 101% of the aggregate principal amount of Securities repurchased (a “Change of Control Payment”), plus accrued and unpaid interest, if any, on the Securities repurchased to the date of repurchase, subject to the right of holders of record on the applicable record date to receive interest due on the next Interest Payment Date.</w:t>
      </w:r>
    </w:p>
    <w:p>
      <w:pPr>
        <w:spacing w:after="0" w:line="210" w:lineRule="exact"/>
        <w:rPr>
          <w:sz w:val="20"/>
          <w:szCs w:val="20"/>
          <w:color w:val="auto"/>
        </w:rPr>
      </w:pPr>
    </w:p>
    <w:p>
      <w:pPr>
        <w:jc w:val="both"/>
        <w:ind w:left="200" w:right="239" w:firstLine="648"/>
        <w:spacing w:after="0" w:line="258" w:lineRule="auto"/>
        <w:rPr>
          <w:sz w:val="20"/>
          <w:szCs w:val="20"/>
          <w:color w:val="auto"/>
        </w:rPr>
      </w:pPr>
      <w:r>
        <w:rPr>
          <w:rFonts w:ascii="Times New Roman" w:cs="Times New Roman" w:eastAsia="Times New Roman" w:hAnsi="Times New Roman"/>
          <w:sz w:val="22"/>
          <w:szCs w:val="22"/>
          <w:color w:val="auto"/>
        </w:rPr>
        <w:t>Within 30 days following any Change of Control Triggering Event or, at the Company’s option, prior to any Change of Control, but after public announcement of the transaction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478155</wp:posOffset>
            </wp:positionV>
            <wp:extent cx="545211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79" w:name="page80"/>
    <w:bookmarkEnd w:id="79"/>
    <w:p>
      <w:pPr>
        <w:jc w:val="both"/>
        <w:ind w:left="200" w:right="219"/>
        <w:spacing w:after="0" w:line="235" w:lineRule="auto"/>
        <w:rPr>
          <w:sz w:val="20"/>
          <w:szCs w:val="20"/>
          <w:color w:val="auto"/>
        </w:rPr>
      </w:pPr>
      <w:r>
        <w:rPr>
          <w:rFonts w:ascii="Times New Roman" w:cs="Times New Roman" w:eastAsia="Times New Roman" w:hAnsi="Times New Roman"/>
          <w:sz w:val="22"/>
          <w:szCs w:val="22"/>
          <w:color w:val="auto"/>
        </w:rPr>
        <w:t>constitutes or may constitute the Change of Control, the Company shall mail a notice to Holders of the Securities describing the transaction that constitutes or may constitute the Change of Control Triggering Event and offering to repurchase such Securities on the date specified in the applicable notice, which date shall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Upon the Change of Control Payment Date, the Company shall, to the extent lawful:</w:t>
      </w:r>
    </w:p>
    <w:p>
      <w:pPr>
        <w:spacing w:after="0" w:line="233" w:lineRule="exact"/>
        <w:rPr>
          <w:sz w:val="20"/>
          <w:szCs w:val="20"/>
          <w:color w:val="auto"/>
        </w:rPr>
      </w:pPr>
    </w:p>
    <w:p>
      <w:pPr>
        <w:ind w:left="1500" w:right="219" w:hanging="643"/>
        <w:spacing w:after="0" w:line="258" w:lineRule="auto"/>
        <w:tabs>
          <w:tab w:leader="none" w:pos="117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accept for payment all Securities or portions of Securities properly tendered and not withdrawn pursuant to the Change of Control Offer;</w:t>
      </w:r>
    </w:p>
    <w:p>
      <w:pPr>
        <w:spacing w:after="0" w:line="158" w:lineRule="exact"/>
        <w:rPr>
          <w:rFonts w:ascii="Times New Roman" w:cs="Times New Roman" w:eastAsia="Times New Roman" w:hAnsi="Times New Roman"/>
          <w:sz w:val="18"/>
          <w:szCs w:val="18"/>
          <w:color w:val="auto"/>
        </w:rPr>
      </w:pPr>
    </w:p>
    <w:p>
      <w:pPr>
        <w:ind w:left="1500" w:right="219" w:hanging="643"/>
        <w:spacing w:after="0" w:line="258" w:lineRule="auto"/>
        <w:tabs>
          <w:tab w:leader="none" w:pos="117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deposit with the Paying Agent an amount equal to the Change of Control Payment in respect of all Securities or portions of Securities properly tendered; and</w:t>
      </w:r>
    </w:p>
    <w:p>
      <w:pPr>
        <w:spacing w:after="0" w:line="158" w:lineRule="exact"/>
        <w:rPr>
          <w:rFonts w:ascii="Times New Roman" w:cs="Times New Roman" w:eastAsia="Times New Roman" w:hAnsi="Times New Roman"/>
          <w:sz w:val="18"/>
          <w:szCs w:val="18"/>
          <w:color w:val="auto"/>
        </w:rPr>
      </w:pPr>
    </w:p>
    <w:p>
      <w:pPr>
        <w:ind w:left="1500" w:right="219" w:hanging="643"/>
        <w:spacing w:after="0" w:line="244" w:lineRule="auto"/>
        <w:tabs>
          <w:tab w:leader="none" w:pos="117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deliver or cause to be delivered to the Trustee the Securities properly accepted together with an Officers’ Certificate stating the aggregate principal amount of Securities or portions of Securities being repurchased.</w:t>
      </w:r>
    </w:p>
    <w:p>
      <w:pPr>
        <w:spacing w:after="0" w:line="173"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The Company need not make a Change of Control Offer upon the occurrence of a Change of Control Triggering Event if a third party makes such an offer in the manner, at the times and otherwise in compliance with the requirements for an offer made by the Company and the third party repurchases all Securities properly tendered and not withdrawn under its offer. In addition, the Company shall not repurchase any Securities if there has occurred and is continuing on the Change of Control Payment Date an Event of Default under the Indenture, other than a default in the payment of the Change of Control Payment upon a Change of Control Triggering Event.</w:t>
      </w:r>
    </w:p>
    <w:p>
      <w:pPr>
        <w:spacing w:after="0" w:line="210"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The Company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Securities as a result of a Change of Control Triggering Event. To the extent that the provisions of any securities laws or regulations conflict with the Change of Control Offer provisions of this Security, the Company will comply with those securities laws and regulations and will not be deemed to have breached its obligations under the Change of Control Offer provisions of this Security by virtue of any such conflict.</w:t>
      </w:r>
    </w:p>
    <w:p>
      <w:pPr>
        <w:spacing w:after="0" w:line="205"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For purposes of the Change of Control Offer provisions of the Securities, the following terms are applicable:</w:t>
      </w:r>
    </w:p>
    <w:p>
      <w:pPr>
        <w:spacing w:after="0" w:line="185" w:lineRule="exact"/>
        <w:rPr>
          <w:sz w:val="20"/>
          <w:szCs w:val="20"/>
          <w:color w:val="auto"/>
        </w:rPr>
      </w:pPr>
    </w:p>
    <w:p>
      <w:pPr>
        <w:jc w:val="both"/>
        <w:ind w:left="200" w:right="219" w:firstLine="667"/>
        <w:spacing w:after="0" w:line="249" w:lineRule="auto"/>
        <w:rPr>
          <w:sz w:val="20"/>
          <w:szCs w:val="20"/>
          <w:color w:val="auto"/>
        </w:rPr>
      </w:pPr>
      <w:r>
        <w:rPr>
          <w:rFonts w:ascii="Times New Roman" w:cs="Times New Roman" w:eastAsia="Times New Roman" w:hAnsi="Times New Roman"/>
          <w:sz w:val="21"/>
          <w:szCs w:val="21"/>
          <w:color w:val="auto"/>
        </w:rPr>
        <w:t>“Change of Control” means the occurrence of any of the following: (1) the direct or indirect sale, lease, transfer, conveyance or other disposition (other than by way of merger or consolidation), in one or more series of related transactions, of all or substantially all of the Company’s assets and the assets of its Subsidiaries, taken as a whole, to any person, other than the Company or one of its Subsidiaries; (2) the consummation of any transaction (including, without limitation, any merger or consolidation) the result of which is that any person becomes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80" w:name="page81"/>
    <w:bookmarkEnd w:id="80"/>
    <w:p>
      <w:pPr>
        <w:jc w:val="both"/>
        <w:ind w:left="200" w:right="219"/>
        <w:spacing w:after="0" w:line="233" w:lineRule="auto"/>
        <w:rPr>
          <w:sz w:val="20"/>
          <w:szCs w:val="20"/>
          <w:color w:val="auto"/>
        </w:rPr>
      </w:pPr>
      <w:r>
        <w:rPr>
          <w:rFonts w:ascii="Times New Roman" w:cs="Times New Roman" w:eastAsia="Times New Roman" w:hAnsi="Times New Roman"/>
          <w:sz w:val="22"/>
          <w:szCs w:val="22"/>
          <w:color w:val="auto"/>
        </w:rPr>
        <w:t>beneficial owner (as defined in Rules 13d-3 and 13d-5 under the Exchange Act), directly or indirectly, of more than 50% of the outstanding Voting Stock of the Company or other Voting Stock into which the Company’s Voting Stock is reclassified, consolidated, exchanged or changed, measured by voting power rather than number of shares; (3) the Company consolidates with, or merges with or into, any person, or any person consolidates with, or merges with or into, the Company, in any such event pursuant to a transaction in which any of the outstanding Voting Stock of the Company or the Voting Stock of such other person is converted into or exchanged for cash, securities or other property, other than any such transaction where the shares of the Voting Stock of the Company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or (4) the adoption of a plan relating to the liquidation or dissolution of the Company.</w:t>
      </w:r>
    </w:p>
    <w:p>
      <w:pPr>
        <w:spacing w:after="0" w:line="183" w:lineRule="exact"/>
        <w:rPr>
          <w:sz w:val="20"/>
          <w:szCs w:val="20"/>
          <w:color w:val="auto"/>
        </w:rPr>
      </w:pPr>
    </w:p>
    <w:p>
      <w:pPr>
        <w:jc w:val="both"/>
        <w:ind w:left="200" w:right="219" w:firstLine="667"/>
        <w:spacing w:after="0" w:line="234" w:lineRule="auto"/>
        <w:rPr>
          <w:sz w:val="20"/>
          <w:szCs w:val="20"/>
          <w:color w:val="auto"/>
        </w:rPr>
      </w:pPr>
      <w:r>
        <w:rPr>
          <w:rFonts w:ascii="Times New Roman" w:cs="Times New Roman" w:eastAsia="Times New Roman" w:hAnsi="Times New Roman"/>
          <w:sz w:val="22"/>
          <w:szCs w:val="22"/>
          <w:color w:val="auto"/>
        </w:rPr>
        <w:t>Notwithstanding the preceding, a transaction will not be deemed to involve a Change of Control under clause (2) above if (i) the Company becomes a direct or indirect wholly-owned subsidiary of a holding company and (ii)(A) the direct or indirect holders of the Voting Stock of such holding company immediately following that transaction are substantially the same as the holders of Voting Stock of the Company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183" w:lineRule="exact"/>
        <w:rPr>
          <w:sz w:val="20"/>
          <w:szCs w:val="20"/>
          <w:color w:val="auto"/>
        </w:rPr>
      </w:pPr>
    </w:p>
    <w:p>
      <w:pPr>
        <w:jc w:val="both"/>
        <w:ind w:left="200" w:right="239" w:firstLine="667"/>
        <w:spacing w:after="0" w:line="258" w:lineRule="auto"/>
        <w:rPr>
          <w:sz w:val="20"/>
          <w:szCs w:val="20"/>
          <w:color w:val="auto"/>
        </w:rPr>
      </w:pPr>
      <w:r>
        <w:rPr>
          <w:rFonts w:ascii="Times New Roman" w:cs="Times New Roman" w:eastAsia="Times New Roman" w:hAnsi="Times New Roman"/>
          <w:sz w:val="22"/>
          <w:szCs w:val="22"/>
          <w:color w:val="auto"/>
        </w:rPr>
        <w:t>“Change of Control Triggering Event” means the occurrence of both a Change of Control and a Rating Event.</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“Fitch” means Fitch Inc. and its successors.</w:t>
      </w:r>
    </w:p>
    <w:p>
      <w:pPr>
        <w:spacing w:after="0" w:line="206" w:lineRule="exact"/>
        <w:rPr>
          <w:sz w:val="20"/>
          <w:szCs w:val="20"/>
          <w:color w:val="auto"/>
        </w:rPr>
      </w:pPr>
    </w:p>
    <w:p>
      <w:pPr>
        <w:jc w:val="both"/>
        <w:ind w:left="200" w:right="219" w:firstLine="667"/>
        <w:spacing w:after="0" w:line="239" w:lineRule="auto"/>
        <w:rPr>
          <w:sz w:val="20"/>
          <w:szCs w:val="20"/>
          <w:color w:val="auto"/>
        </w:rPr>
      </w:pPr>
      <w:r>
        <w:rPr>
          <w:rFonts w:ascii="Times New Roman" w:cs="Times New Roman" w:eastAsia="Times New Roman" w:hAnsi="Times New Roman"/>
          <w:sz w:val="22"/>
          <w:szCs w:val="22"/>
          <w:color w:val="auto"/>
        </w:rPr>
        <w:t>“Investment Grade Rating” means a rating equal to or higher than BBB- (or the equivalent) by Fitch, Baa3 (or the equivalent) by Moody’s and BBB- (or the equivalent) by S&amp;P, and the equivalent investment grade credit rating from any replacement Rating Agency or Rating Agencies selected by the Company.</w:t>
      </w:r>
    </w:p>
    <w:p>
      <w:pPr>
        <w:spacing w:after="0" w:line="18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“Moody’s” means Moody’s Investors Service, Inc. and its successors.</w:t>
      </w:r>
    </w:p>
    <w:p>
      <w:pPr>
        <w:spacing w:after="0" w:line="206" w:lineRule="exact"/>
        <w:rPr>
          <w:sz w:val="20"/>
          <w:szCs w:val="20"/>
          <w:color w:val="auto"/>
        </w:rPr>
      </w:pPr>
    </w:p>
    <w:p>
      <w:pPr>
        <w:jc w:val="both"/>
        <w:ind w:left="200" w:right="219" w:firstLine="667"/>
        <w:spacing w:after="0" w:line="236" w:lineRule="auto"/>
        <w:rPr>
          <w:sz w:val="20"/>
          <w:szCs w:val="20"/>
          <w:color w:val="auto"/>
        </w:rPr>
      </w:pPr>
      <w:r>
        <w:rPr>
          <w:rFonts w:ascii="Times New Roman" w:cs="Times New Roman" w:eastAsia="Times New Roman" w:hAnsi="Times New Roman"/>
          <w:sz w:val="22"/>
          <w:szCs w:val="22"/>
          <w:color w:val="auto"/>
        </w:rPr>
        <w:t>“Rating Agencies” means (1) each of Fitch, Moody’s and S&amp;P and (2) if any of Fitch, Moody’s or S&amp;P ceases to rate the Securities or fails to make a rating of the Securities publicly available for reasons outside of the Company’s control, a “nationally recognized statistical rating organization” within the meaning of Section 3(a)(62) of the Exchange Act selected by the Company (as certified by a resolution of the Board of Directors of the Company) as a replacement agency for Fitch, Moody’s or S&amp;P, or all of them, as the case may be.</w:t>
      </w:r>
    </w:p>
    <w:p>
      <w:pPr>
        <w:spacing w:after="0" w:line="181" w:lineRule="exact"/>
        <w:rPr>
          <w:sz w:val="20"/>
          <w:szCs w:val="20"/>
          <w:color w:val="auto"/>
        </w:rPr>
      </w:pPr>
    </w:p>
    <w:p>
      <w:pPr>
        <w:jc w:val="both"/>
        <w:ind w:left="200" w:right="219" w:firstLine="667"/>
        <w:spacing w:after="0" w:line="255" w:lineRule="auto"/>
        <w:rPr>
          <w:sz w:val="20"/>
          <w:szCs w:val="20"/>
          <w:color w:val="auto"/>
        </w:rPr>
      </w:pPr>
      <w:r>
        <w:rPr>
          <w:rFonts w:ascii="Times New Roman" w:cs="Times New Roman" w:eastAsia="Times New Roman" w:hAnsi="Times New Roman"/>
          <w:sz w:val="21"/>
          <w:szCs w:val="21"/>
          <w:color w:val="auto"/>
        </w:rPr>
        <w:t>“Rating Event” means the rating on the Securities is lowered by at least two of the three Rating Agencies and the Securities are rated below an Investment Grade Rating by at least two of the three Rating Agencies, in any case on any day during the period (which period will be extended so long as the rating of the Securities is under publicly announced consideration for a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480060</wp:posOffset>
            </wp:positionV>
            <wp:extent cx="545211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81" w:name="page82"/>
    <w:bookmarkEnd w:id="81"/>
    <w:p>
      <w:pPr>
        <w:jc w:val="both"/>
        <w:ind w:left="200" w:right="219"/>
        <w:spacing w:after="0" w:line="244" w:lineRule="auto"/>
        <w:rPr>
          <w:sz w:val="20"/>
          <w:szCs w:val="20"/>
          <w:color w:val="auto"/>
        </w:rPr>
      </w:pPr>
      <w:r>
        <w:rPr>
          <w:rFonts w:ascii="Times New Roman" w:cs="Times New Roman" w:eastAsia="Times New Roman" w:hAnsi="Times New Roman"/>
          <w:sz w:val="22"/>
          <w:szCs w:val="22"/>
          <w:color w:val="auto"/>
        </w:rPr>
        <w:t>downgrade by any of the rating agencies) commencing 60 days prior to the first public notice of the occurrence of a Change of Control or the Company’s intention to effect a Change of Control and ending 60 days following consummation of such Change of Control.</w:t>
      </w:r>
    </w:p>
    <w:p>
      <w:pPr>
        <w:spacing w:after="0" w:line="17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“S&amp;P” means S&amp;P Global Ratings, a division of S&amp;P Global Inc., and its successors.</w:t>
      </w:r>
    </w:p>
    <w:p>
      <w:pPr>
        <w:spacing w:after="0" w:line="206" w:lineRule="exact"/>
        <w:rPr>
          <w:sz w:val="20"/>
          <w:szCs w:val="20"/>
          <w:color w:val="auto"/>
        </w:rPr>
      </w:pPr>
    </w:p>
    <w:p>
      <w:pPr>
        <w:jc w:val="both"/>
        <w:ind w:left="200" w:right="219" w:firstLine="667"/>
        <w:spacing w:after="0" w:line="244" w:lineRule="auto"/>
        <w:rPr>
          <w:sz w:val="20"/>
          <w:szCs w:val="20"/>
          <w:color w:val="auto"/>
        </w:rPr>
      </w:pPr>
      <w:r>
        <w:rPr>
          <w:rFonts w:ascii="Times New Roman" w:cs="Times New Roman" w:eastAsia="Times New Roman" w:hAnsi="Times New Roman"/>
          <w:sz w:val="22"/>
          <w:szCs w:val="22"/>
          <w:color w:val="auto"/>
        </w:rPr>
        <w:t>“Voting Stock”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169" w:lineRule="exact"/>
        <w:rPr>
          <w:sz w:val="20"/>
          <w:szCs w:val="20"/>
          <w:color w:val="auto"/>
        </w:rPr>
      </w:pPr>
    </w:p>
    <w:p>
      <w:pPr>
        <w:ind w:left="1500" w:hanging="643"/>
        <w:spacing w:after="0"/>
        <w:tabs>
          <w:tab w:leader="none" w:pos="150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Denominations; Transfer; Exchange.</w:t>
      </w:r>
    </w:p>
    <w:p>
      <w:pPr>
        <w:spacing w:after="0" w:line="210" w:lineRule="exact"/>
        <w:rPr>
          <w:sz w:val="20"/>
          <w:szCs w:val="20"/>
          <w:color w:val="auto"/>
        </w:rPr>
      </w:pPr>
    </w:p>
    <w:p>
      <w:pPr>
        <w:jc w:val="both"/>
        <w:ind w:left="200" w:right="219" w:firstLine="667"/>
        <w:spacing w:after="0" w:line="238" w:lineRule="auto"/>
        <w:rPr>
          <w:sz w:val="20"/>
          <w:szCs w:val="20"/>
          <w:color w:val="auto"/>
        </w:rPr>
      </w:pPr>
      <w:r>
        <w:rPr>
          <w:rFonts w:ascii="Times New Roman" w:cs="Times New Roman" w:eastAsia="Times New Roman" w:hAnsi="Times New Roman"/>
          <w:sz w:val="22"/>
          <w:szCs w:val="22"/>
          <w:color w:val="auto"/>
        </w:rPr>
        <w:t>The Securities are issued in registered form, without coupons, in a minimum denomination of $2,000 and integral multiples of $1,000 in excess thereof. A Holder may register the transfer of, or exchange, Securities in accordance with the Indenture. The Securities Registrar may require a Holder, among other things, to furnish appropriate endorsements and transfer documents and to pay any taxes and fees required by law or permitted by the Indenture.</w:t>
      </w:r>
    </w:p>
    <w:p>
      <w:pPr>
        <w:spacing w:after="0" w:line="173" w:lineRule="exact"/>
        <w:rPr>
          <w:sz w:val="20"/>
          <w:szCs w:val="20"/>
          <w:color w:val="auto"/>
        </w:rPr>
      </w:pPr>
    </w:p>
    <w:p>
      <w:pPr>
        <w:ind w:left="1500" w:hanging="643"/>
        <w:spacing w:after="0"/>
        <w:tabs>
          <w:tab w:leader="none" w:pos="150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Person Deemed Owners.</w:t>
      </w:r>
    </w:p>
    <w:p>
      <w:pPr>
        <w:spacing w:after="0" w:line="21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The registered Holder of a Security may be treated as the owner of it for all purposes.</w:t>
      </w:r>
    </w:p>
    <w:p>
      <w:pPr>
        <w:spacing w:after="0" w:line="202" w:lineRule="exact"/>
        <w:rPr>
          <w:sz w:val="20"/>
          <w:szCs w:val="20"/>
          <w:color w:val="auto"/>
        </w:rPr>
      </w:pPr>
    </w:p>
    <w:p>
      <w:pPr>
        <w:ind w:left="1500" w:hanging="643"/>
        <w:spacing w:after="0"/>
        <w:tabs>
          <w:tab w:leader="none" w:pos="150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Amendment; Supplement; Waiver.</w:t>
      </w:r>
    </w:p>
    <w:p>
      <w:pPr>
        <w:spacing w:after="0" w:line="210" w:lineRule="exact"/>
        <w:rPr>
          <w:sz w:val="20"/>
          <w:szCs w:val="20"/>
          <w:color w:val="auto"/>
        </w:rPr>
      </w:pPr>
    </w:p>
    <w:p>
      <w:pPr>
        <w:jc w:val="both"/>
        <w:ind w:left="200" w:right="219" w:firstLine="667"/>
        <w:spacing w:after="0" w:line="233" w:lineRule="auto"/>
        <w:rPr>
          <w:sz w:val="20"/>
          <w:szCs w:val="20"/>
          <w:color w:val="auto"/>
        </w:rPr>
      </w:pPr>
      <w:r>
        <w:rPr>
          <w:rFonts w:ascii="Times New Roman" w:cs="Times New Roman" w:eastAsia="Times New Roman" w:hAnsi="Times New Roman"/>
          <w:sz w:val="22"/>
          <w:szCs w:val="22"/>
          <w:color w:val="auto"/>
        </w:rPr>
        <w:t>Subject to certain exceptions, the Indenture may be amended or supplemented, and any existing Event of Default or compliance with any provision may be waived, with the consent of the Holders of a majority in principal amount of the Outstanding Debt Securities of each series affected. Without consent of any Holder, the parties thereto may amend or supplement the Indenture or the Securities to, among other things, cure any ambiguity, defect or inconsistency, or make any other change that does not adversely affect the interests of any Holder of a Security in any material respect. Any such consent or waiver by the Holder of this Security (unless revoked as provided in the Indenture) shall be conclusive and binding upon such Holder and upon all future Holders and owners of this Security and any Securities which may be issued in exchange or substitution herefor, irrespective of whether or not any notation thereof is made upon this Security or such other Securities.</w:t>
      </w:r>
    </w:p>
    <w:p>
      <w:pPr>
        <w:spacing w:after="0" w:line="183" w:lineRule="exact"/>
        <w:rPr>
          <w:sz w:val="20"/>
          <w:szCs w:val="20"/>
          <w:color w:val="auto"/>
        </w:rPr>
      </w:pPr>
    </w:p>
    <w:p>
      <w:pPr>
        <w:ind w:left="1500" w:hanging="643"/>
        <w:spacing w:after="0"/>
        <w:tabs>
          <w:tab w:leader="none" w:pos="150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Defaults and Remedies.</w:t>
      </w:r>
    </w:p>
    <w:p>
      <w:pPr>
        <w:spacing w:after="0" w:line="210" w:lineRule="exact"/>
        <w:rPr>
          <w:sz w:val="20"/>
          <w:szCs w:val="20"/>
          <w:color w:val="auto"/>
        </w:rPr>
      </w:pPr>
    </w:p>
    <w:p>
      <w:pPr>
        <w:jc w:val="both"/>
        <w:ind w:left="200" w:right="219" w:firstLine="667"/>
        <w:spacing w:after="0" w:line="246" w:lineRule="auto"/>
        <w:rPr>
          <w:sz w:val="20"/>
          <w:szCs w:val="20"/>
          <w:color w:val="auto"/>
        </w:rPr>
      </w:pPr>
      <w:r>
        <w:rPr>
          <w:rFonts w:ascii="Times New Roman" w:cs="Times New Roman" w:eastAsia="Times New Roman" w:hAnsi="Times New Roman"/>
          <w:sz w:val="21"/>
          <w:szCs w:val="21"/>
          <w:color w:val="auto"/>
        </w:rPr>
        <w:t>If an Event of Default with respect to the Securities occurs and is continuing, then in every such case the Trustee or the Holders of not less than 25% in principal amount of the Securities then Outstanding may declare the principal amount of all the Securities to be due and payable immediately in the manner and with the effect provided in the Indenture. Notwithstanding the preceding sentence, however, if at any time after such a declaration of acceleration has been made and before judgment or decree for payment of the money due has been obtained by the Trustee as provided in the Indenture, the Holders of a majority in principal amount of the Outstanding Securities, by written notice to the Company and to the Trustee, may rescind and annul such declaration and its consequences if (1) the Company has paid or deposited with the Trustee a sum sufficient to pay (A) all overdue interest on all Securities, (B) the principal of (and premium,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82" w:name="page83"/>
    <w:bookmarkEnd w:id="82"/>
    <w:p>
      <w:pPr>
        <w:jc w:val="both"/>
        <w:ind w:left="200" w:right="219"/>
        <w:spacing w:after="0" w:line="233" w:lineRule="auto"/>
        <w:rPr>
          <w:sz w:val="20"/>
          <w:szCs w:val="20"/>
          <w:color w:val="auto"/>
        </w:rPr>
      </w:pPr>
      <w:r>
        <w:rPr>
          <w:rFonts w:ascii="Times New Roman" w:cs="Times New Roman" w:eastAsia="Times New Roman" w:hAnsi="Times New Roman"/>
          <w:sz w:val="22"/>
          <w:szCs w:val="22"/>
          <w:color w:val="auto"/>
        </w:rPr>
        <w:t>any, on) any Securities which has become due otherwise than by such declaration of acceleration and any interest thereon at the rate prescribed therefor herein, (C) to the extent that payment of such interest is lawful, interest upon overdue interest at the rate prescribed therefor herein, and (D) all sums paid or advanced by the Trustee and the reasonable compensation, expenses, disbursements and advances of the Trustee, its agents and counsel and (2) all Events of Default under the Indenture with respect to the Securities, other than the nonpayment of the principal of Securities which has become due solely by such declaration acceleration, shall have been cured or shall have been waived. No such rescission shall affect any subsequent Event of Default or shall impair any right consequent thereon. Holders of Securities may not enforce the Indenture or the Securities except as provided in the Indenture. The Trustee may require indemnity satisfactory to it before it enforces the Indenture or the Securities. Subject to certain limitations, Holders of a majority in aggregate principal amount of the Securities then outstanding may direct the Trustee in its exercise of any trust or power.</w:t>
      </w:r>
    </w:p>
    <w:p>
      <w:pPr>
        <w:spacing w:after="0" w:line="179" w:lineRule="exact"/>
        <w:rPr>
          <w:sz w:val="20"/>
          <w:szCs w:val="20"/>
          <w:color w:val="auto"/>
        </w:rPr>
      </w:pPr>
    </w:p>
    <w:p>
      <w:pPr>
        <w:ind w:left="1500" w:hanging="643"/>
        <w:spacing w:after="0"/>
        <w:tabs>
          <w:tab w:leader="none" w:pos="150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Trustee Dealings with Company.</w:t>
      </w:r>
    </w:p>
    <w:p>
      <w:pPr>
        <w:spacing w:after="0" w:line="210" w:lineRule="exact"/>
        <w:rPr>
          <w:sz w:val="20"/>
          <w:szCs w:val="20"/>
          <w:color w:val="auto"/>
        </w:rPr>
      </w:pPr>
    </w:p>
    <w:p>
      <w:pPr>
        <w:jc w:val="both"/>
        <w:ind w:left="200" w:right="219" w:firstLine="667"/>
        <w:spacing w:after="0" w:line="239" w:lineRule="auto"/>
        <w:rPr>
          <w:sz w:val="20"/>
          <w:szCs w:val="20"/>
          <w:color w:val="auto"/>
        </w:rPr>
      </w:pPr>
      <w:r>
        <w:rPr>
          <w:rFonts w:ascii="Times New Roman" w:cs="Times New Roman" w:eastAsia="Times New Roman" w:hAnsi="Times New Roman"/>
          <w:sz w:val="22"/>
          <w:szCs w:val="22"/>
          <w:color w:val="auto"/>
        </w:rPr>
        <w:t>The Trustee under the Indenture, in its individual or any other capacity, may make loans to, accept deposits from, and perform services for the Company and its Affiliates and any subsidiary of the Company’s Affiliates, and may otherwise deal with the Company and its Affiliates as if it were not the Trustee.</w:t>
      </w:r>
    </w:p>
    <w:p>
      <w:pPr>
        <w:spacing w:after="0" w:line="176" w:lineRule="exact"/>
        <w:rPr>
          <w:sz w:val="20"/>
          <w:szCs w:val="20"/>
          <w:color w:val="auto"/>
        </w:rPr>
      </w:pPr>
    </w:p>
    <w:p>
      <w:pPr>
        <w:ind w:left="1500" w:hanging="643"/>
        <w:spacing w:after="0"/>
        <w:tabs>
          <w:tab w:leader="none" w:pos="150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Authentication.</w:t>
      </w:r>
    </w:p>
    <w:p>
      <w:pPr>
        <w:spacing w:after="0" w:line="210" w:lineRule="exact"/>
        <w:rPr>
          <w:sz w:val="20"/>
          <w:szCs w:val="20"/>
          <w:color w:val="auto"/>
        </w:rPr>
      </w:pPr>
    </w:p>
    <w:p>
      <w:pPr>
        <w:ind w:left="200" w:right="219" w:firstLine="667"/>
        <w:spacing w:after="0" w:line="258" w:lineRule="auto"/>
        <w:rPr>
          <w:sz w:val="20"/>
          <w:szCs w:val="20"/>
          <w:color w:val="auto"/>
        </w:rPr>
      </w:pPr>
      <w:r>
        <w:rPr>
          <w:rFonts w:ascii="Times New Roman" w:cs="Times New Roman" w:eastAsia="Times New Roman" w:hAnsi="Times New Roman"/>
          <w:sz w:val="22"/>
          <w:szCs w:val="22"/>
          <w:color w:val="auto"/>
        </w:rPr>
        <w:t>This Security shall not be valid until the Trustee or authenticating agent signs the certificate of authentication on the other side of this Security.</w:t>
      </w:r>
    </w:p>
    <w:p>
      <w:pPr>
        <w:spacing w:after="0" w:line="154" w:lineRule="exact"/>
        <w:rPr>
          <w:sz w:val="20"/>
          <w:szCs w:val="20"/>
          <w:color w:val="auto"/>
        </w:rPr>
      </w:pPr>
    </w:p>
    <w:p>
      <w:pPr>
        <w:ind w:left="1500" w:hanging="643"/>
        <w:spacing w:after="0"/>
        <w:tabs>
          <w:tab w:leader="none" w:pos="150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Abbreviations and Defined Terms.</w:t>
      </w:r>
    </w:p>
    <w:p>
      <w:pPr>
        <w:spacing w:after="0" w:line="210" w:lineRule="exact"/>
        <w:rPr>
          <w:sz w:val="20"/>
          <w:szCs w:val="20"/>
          <w:color w:val="auto"/>
        </w:rPr>
      </w:pPr>
    </w:p>
    <w:p>
      <w:pPr>
        <w:jc w:val="both"/>
        <w:ind w:left="200" w:right="219" w:firstLine="667"/>
        <w:spacing w:after="0" w:line="239" w:lineRule="auto"/>
        <w:rPr>
          <w:sz w:val="20"/>
          <w:szCs w:val="20"/>
          <w:color w:val="auto"/>
        </w:rPr>
      </w:pPr>
      <w:r>
        <w:rPr>
          <w:rFonts w:ascii="Times New Roman" w:cs="Times New Roman" w:eastAsia="Times New Roman" w:hAnsi="Times New Roman"/>
          <w:sz w:val="22"/>
          <w:szCs w:val="22"/>
          <w:color w:val="auto"/>
        </w:rPr>
        <w:t>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w:t>
      </w:r>
    </w:p>
    <w:p>
      <w:pPr>
        <w:spacing w:after="0" w:line="176" w:lineRule="exact"/>
        <w:rPr>
          <w:sz w:val="20"/>
          <w:szCs w:val="20"/>
          <w:color w:val="auto"/>
        </w:rPr>
      </w:pPr>
    </w:p>
    <w:p>
      <w:pPr>
        <w:ind w:left="1500" w:hanging="643"/>
        <w:spacing w:after="0"/>
        <w:tabs>
          <w:tab w:leader="none" w:pos="150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CUSIP Numbers.</w:t>
      </w:r>
    </w:p>
    <w:p>
      <w:pPr>
        <w:spacing w:after="0" w:line="210" w:lineRule="exact"/>
        <w:rPr>
          <w:sz w:val="20"/>
          <w:szCs w:val="20"/>
          <w:color w:val="auto"/>
        </w:rPr>
      </w:pPr>
    </w:p>
    <w:p>
      <w:pPr>
        <w:jc w:val="both"/>
        <w:ind w:left="200" w:right="219" w:firstLine="667"/>
        <w:spacing w:after="0" w:line="238" w:lineRule="auto"/>
        <w:rPr>
          <w:sz w:val="20"/>
          <w:szCs w:val="20"/>
          <w:color w:val="auto"/>
        </w:rPr>
      </w:pPr>
      <w:r>
        <w:rPr>
          <w:rFonts w:ascii="Times New Roman" w:cs="Times New Roman" w:eastAsia="Times New Roman" w:hAnsi="Times New Roman"/>
          <w:sz w:val="22"/>
          <w:szCs w:val="22"/>
          <w:color w:val="auto"/>
        </w:rPr>
        <w:t>Pursuant to a recommendation promulgated by the Committee on Uniform Note Identification Procedures, the Company has caused CUSIP numbers to be printed on the Securities as a convenience to the Holders of the Securities. No representation is made as to the accuracy of such number as printed on the Securities and reliance may be placed only on the other identification numbers printed hereon.</w:t>
      </w:r>
    </w:p>
    <w:p>
      <w:pPr>
        <w:spacing w:after="0" w:line="173" w:lineRule="exact"/>
        <w:rPr>
          <w:sz w:val="20"/>
          <w:szCs w:val="20"/>
          <w:color w:val="auto"/>
        </w:rPr>
      </w:pPr>
    </w:p>
    <w:p>
      <w:pPr>
        <w:ind w:left="1500" w:hanging="643"/>
        <w:spacing w:after="0"/>
        <w:tabs>
          <w:tab w:leader="none" w:pos="150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Absolute Obligation.</w:t>
      </w:r>
    </w:p>
    <w:p>
      <w:pPr>
        <w:spacing w:after="0" w:line="210" w:lineRule="exact"/>
        <w:rPr>
          <w:sz w:val="20"/>
          <w:szCs w:val="20"/>
          <w:color w:val="auto"/>
        </w:rPr>
      </w:pPr>
    </w:p>
    <w:p>
      <w:pPr>
        <w:jc w:val="both"/>
        <w:ind w:left="200" w:right="219" w:firstLine="667"/>
        <w:spacing w:after="0" w:line="239" w:lineRule="auto"/>
        <w:rPr>
          <w:sz w:val="20"/>
          <w:szCs w:val="20"/>
          <w:color w:val="auto"/>
        </w:rPr>
      </w:pPr>
      <w:r>
        <w:rPr>
          <w:rFonts w:ascii="Times New Roman" w:cs="Times New Roman" w:eastAsia="Times New Roman" w:hAnsi="Times New Roman"/>
          <w:sz w:val="22"/>
          <w:szCs w:val="22"/>
          <w:color w:val="auto"/>
        </w:rPr>
        <w:t>No reference herein to the Indenture and no provision of this Security or the Indenture shall alter or impair the obligation of the Company, which is absolute and unconditional, to pay the principal of, premium, if any, and interest on this Security in the manner, at the respective times, at the rate and in the coin or currency herein prescribed.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629285</wp:posOffset>
            </wp:positionV>
            <wp:extent cx="545211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83" w:name="page84"/>
    <w:bookmarkEnd w:id="83"/>
    <w:p>
      <w:pPr>
        <w:ind w:left="1500" w:hanging="643"/>
        <w:spacing w:after="0"/>
        <w:tabs>
          <w:tab w:leader="none" w:pos="150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Recourse.</w:t>
      </w:r>
    </w:p>
    <w:p>
      <w:pPr>
        <w:spacing w:after="0" w:line="209" w:lineRule="exact"/>
        <w:rPr>
          <w:sz w:val="20"/>
          <w:szCs w:val="20"/>
          <w:color w:val="auto"/>
        </w:rPr>
      </w:pPr>
    </w:p>
    <w:p>
      <w:pPr>
        <w:jc w:val="both"/>
        <w:ind w:left="200" w:right="219" w:firstLine="667"/>
        <w:spacing w:after="0" w:line="235" w:lineRule="auto"/>
        <w:rPr>
          <w:sz w:val="20"/>
          <w:szCs w:val="20"/>
          <w:color w:val="auto"/>
        </w:rPr>
      </w:pPr>
      <w:r>
        <w:rPr>
          <w:rFonts w:ascii="Times New Roman" w:cs="Times New Roman" w:eastAsia="Times New Roman" w:hAnsi="Times New Roman"/>
          <w:sz w:val="22"/>
          <w:szCs w:val="22"/>
          <w:color w:val="auto"/>
        </w:rPr>
        <w:t>No recourse under or upon any obligation, covenant or agreement contained in the Indenture or in any Security, or because of any indebtedness evidenced thereby, shall be had against any incorporator, past, present or future stockholder, officer or director, as such of the Company or of any successor, either directly or through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Security by the Holder and as part of the consideration for the issue of the Security.</w:t>
      </w:r>
    </w:p>
    <w:p>
      <w:pPr>
        <w:spacing w:after="0" w:line="174" w:lineRule="exact"/>
        <w:rPr>
          <w:sz w:val="20"/>
          <w:szCs w:val="20"/>
          <w:color w:val="auto"/>
        </w:rPr>
      </w:pPr>
    </w:p>
    <w:p>
      <w:pPr>
        <w:ind w:left="1500" w:hanging="643"/>
        <w:spacing w:after="0"/>
        <w:tabs>
          <w:tab w:leader="none" w:pos="150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Governing Law.</w:t>
      </w:r>
    </w:p>
    <w:p>
      <w:pPr>
        <w:spacing w:after="0" w:line="210" w:lineRule="exact"/>
        <w:rPr>
          <w:sz w:val="20"/>
          <w:szCs w:val="20"/>
          <w:color w:val="auto"/>
        </w:rPr>
      </w:pPr>
    </w:p>
    <w:p>
      <w:pPr>
        <w:ind w:left="200" w:right="219" w:firstLine="667"/>
        <w:spacing w:after="0" w:line="258" w:lineRule="auto"/>
        <w:rPr>
          <w:sz w:val="20"/>
          <w:szCs w:val="20"/>
          <w:color w:val="auto"/>
        </w:rPr>
      </w:pPr>
      <w:r>
        <w:rPr>
          <w:rFonts w:ascii="Times New Roman" w:cs="Times New Roman" w:eastAsia="Times New Roman" w:hAnsi="Times New Roman"/>
          <w:sz w:val="22"/>
          <w:szCs w:val="22"/>
          <w:color w:val="auto"/>
        </w:rPr>
        <w:t>This Security shall be construed in accordance with and governed by the laws of the State of New York.</w:t>
      </w:r>
    </w:p>
    <w:p>
      <w:pPr>
        <w:spacing w:after="0" w:line="154" w:lineRule="exact"/>
        <w:rPr>
          <w:sz w:val="20"/>
          <w:szCs w:val="20"/>
          <w:color w:val="auto"/>
        </w:rPr>
      </w:pPr>
    </w:p>
    <w:p>
      <w:pPr>
        <w:ind w:left="1500" w:hanging="643"/>
        <w:spacing w:after="0"/>
        <w:tabs>
          <w:tab w:leader="none" w:pos="150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Guarantee.</w:t>
      </w:r>
    </w:p>
    <w:p>
      <w:pPr>
        <w:spacing w:after="0" w:line="210" w:lineRule="exact"/>
        <w:rPr>
          <w:sz w:val="20"/>
          <w:szCs w:val="20"/>
          <w:color w:val="auto"/>
        </w:rPr>
      </w:pPr>
    </w:p>
    <w:p>
      <w:pPr>
        <w:jc w:val="both"/>
        <w:ind w:left="200" w:right="219" w:firstLine="667"/>
        <w:spacing w:after="0" w:line="235" w:lineRule="auto"/>
        <w:rPr>
          <w:sz w:val="20"/>
          <w:szCs w:val="20"/>
          <w:color w:val="auto"/>
        </w:rPr>
      </w:pPr>
      <w:r>
        <w:rPr>
          <w:rFonts w:ascii="Times New Roman" w:cs="Times New Roman" w:eastAsia="Times New Roman" w:hAnsi="Times New Roman"/>
          <w:sz w:val="22"/>
          <w:szCs w:val="22"/>
          <w:color w:val="auto"/>
        </w:rPr>
        <w:t>The Securities will be fully and unconditionally guaranteed on a senior basis by the Company’s wholly owned subsidiary, Waste Management Holdings, Inc., pursuant to the terms and conditions of a Guarantee, dated as of July 3, 2024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Securities until release thereof as set forth in Section 6 of the Guarantee.</w:t>
      </w:r>
    </w:p>
    <w:p>
      <w:pPr>
        <w:spacing w:after="0" w:line="179" w:lineRule="exact"/>
        <w:rPr>
          <w:sz w:val="20"/>
          <w:szCs w:val="20"/>
          <w:color w:val="auto"/>
        </w:rPr>
      </w:pPr>
    </w:p>
    <w:p>
      <w:pPr>
        <w:ind w:left="1500" w:hanging="625"/>
        <w:spacing w:after="0"/>
        <w:tabs>
          <w:tab w:leader="none" w:pos="150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Satisfaction and Discharge.</w:t>
      </w:r>
    </w:p>
    <w:p>
      <w:pPr>
        <w:spacing w:after="0" w:line="210" w:lineRule="exact"/>
        <w:rPr>
          <w:sz w:val="20"/>
          <w:szCs w:val="20"/>
          <w:color w:val="auto"/>
        </w:rPr>
      </w:pPr>
    </w:p>
    <w:p>
      <w:pPr>
        <w:jc w:val="both"/>
        <w:ind w:left="200" w:right="219" w:firstLine="667"/>
        <w:spacing w:after="0" w:line="235" w:lineRule="auto"/>
        <w:rPr>
          <w:sz w:val="20"/>
          <w:szCs w:val="20"/>
          <w:color w:val="auto"/>
        </w:rPr>
      </w:pPr>
      <w:r>
        <w:rPr>
          <w:rFonts w:ascii="Times New Roman" w:cs="Times New Roman" w:eastAsia="Times New Roman" w:hAnsi="Times New Roman"/>
          <w:sz w:val="22"/>
          <w:szCs w:val="22"/>
          <w:color w:val="auto"/>
        </w:rPr>
        <w:t>The Securities will be subject to Section 401 of the Indenture; provided, however, that solely with respect to the Securities, the following sentence shall be added to the end of Section 401(1)(B) of the Indenture: “(provided that, upon any redemption that requires the payment of any make-whole or other premium, (x) the amount of cash that must be deposited shall be determined using an assumed applicable premium calculated as of the date of such deposit and (y) the Company shall deposit any deficit in trust on or prior to the Redemption Date as necessary to pay the applicable premium as determined by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1214120</wp:posOffset>
            </wp:positionV>
            <wp:extent cx="545211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84" w:name="page85"/>
    <w:bookmarkEnd w:id="84"/>
    <w:p>
      <w:pPr>
        <w:jc w:val="center"/>
        <w:ind w:right="19"/>
        <w:spacing w:after="0"/>
        <w:rPr>
          <w:sz w:val="20"/>
          <w:szCs w:val="20"/>
          <w:color w:val="auto"/>
        </w:rPr>
      </w:pPr>
      <w:r>
        <w:rPr>
          <w:rFonts w:ascii="Times New Roman" w:cs="Times New Roman" w:eastAsia="Times New Roman" w:hAnsi="Times New Roman"/>
          <w:sz w:val="22"/>
          <w:szCs w:val="22"/>
          <w:color w:val="auto"/>
        </w:rPr>
        <w:t>SCHEDULE OF EXCHANGES OF DEFINITIVE SECURITY</w:t>
      </w:r>
    </w:p>
    <w:p>
      <w:pPr>
        <w:spacing w:after="0" w:line="207" w:lineRule="exact"/>
        <w:rPr>
          <w:sz w:val="20"/>
          <w:szCs w:val="20"/>
          <w:color w:val="auto"/>
        </w:rPr>
      </w:pPr>
    </w:p>
    <w:p>
      <w:pPr>
        <w:ind w:left="200" w:right="219" w:firstLine="667"/>
        <w:spacing w:after="0" w:line="258" w:lineRule="auto"/>
        <w:rPr>
          <w:sz w:val="20"/>
          <w:szCs w:val="20"/>
          <w:color w:val="auto"/>
        </w:rPr>
      </w:pPr>
      <w:r>
        <w:rPr>
          <w:rFonts w:ascii="Times New Roman" w:cs="Times New Roman" w:eastAsia="Times New Roman" w:hAnsi="Times New Roman"/>
          <w:sz w:val="22"/>
          <w:szCs w:val="22"/>
          <w:color w:val="auto"/>
        </w:rPr>
        <w:t>The following exchanges of a part of this Book-Entry Security for definitive Securities have been made:</w:t>
      </w:r>
    </w:p>
    <w:p>
      <w:pPr>
        <w:spacing w:after="0" w:line="200" w:lineRule="exact"/>
        <w:rPr>
          <w:sz w:val="20"/>
          <w:szCs w:val="20"/>
          <w:color w:val="auto"/>
        </w:rPr>
      </w:pPr>
    </w:p>
    <w:p>
      <w:pPr>
        <w:spacing w:after="0" w:line="395"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 decrease</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 increase</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Amount</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Principal</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Principal</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 this Book-Entry</w:t>
            </w:r>
          </w:p>
        </w:tc>
        <w:tc>
          <w:tcPr>
            <w:tcW w:w="1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Signature of</w:t>
            </w: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 this</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Amount of this</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Security following</w:t>
            </w:r>
          </w:p>
        </w:tc>
        <w:tc>
          <w:tcPr>
            <w:tcW w:w="1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authorized officer</w:t>
            </w: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Book-Entry</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Book-Entry</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such decrease (or</w:t>
            </w:r>
          </w:p>
        </w:tc>
        <w:tc>
          <w:tcPr>
            <w:tcW w:w="1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of Trustee or</w:t>
            </w:r>
          </w:p>
        </w:tc>
        <w:tc>
          <w:tcPr>
            <w:tcW w:w="60" w:type="dxa"/>
            <w:vAlign w:val="bottom"/>
          </w:tcPr>
          <w:p>
            <w:pPr>
              <w:spacing w:after="0"/>
              <w:rPr>
                <w:sz w:val="18"/>
                <w:szCs w:val="18"/>
                <w:color w:val="auto"/>
              </w:rPr>
            </w:pPr>
          </w:p>
        </w:tc>
      </w:tr>
      <w:tr>
        <w:trPr>
          <w:trHeight w:val="245"/>
        </w:trPr>
        <w:tc>
          <w:tcPr>
            <w:tcW w:w="80" w:type="dxa"/>
            <w:vAlign w:val="bottom"/>
          </w:tcPr>
          <w:p>
            <w:pPr>
              <w:spacing w:after="0"/>
              <w:rPr>
                <w:sz w:val="21"/>
                <w:szCs w:val="21"/>
                <w:color w:val="auto"/>
              </w:rPr>
            </w:pPr>
          </w:p>
        </w:tc>
        <w:tc>
          <w:tcPr>
            <w:tcW w:w="15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Date of Exchange</w:t>
            </w:r>
          </w:p>
        </w:tc>
        <w:tc>
          <w:tcPr>
            <w:tcW w:w="180" w:type="dxa"/>
            <w:vAlign w:val="bottom"/>
          </w:tcPr>
          <w:p>
            <w:pPr>
              <w:spacing w:after="0"/>
              <w:rPr>
                <w:sz w:val="21"/>
                <w:szCs w:val="21"/>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180" w:type="dxa"/>
            <w:vAlign w:val="bottom"/>
          </w:tcPr>
          <w:p>
            <w:pPr>
              <w:spacing w:after="0"/>
              <w:rPr>
                <w:sz w:val="21"/>
                <w:szCs w:val="21"/>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180" w:type="dxa"/>
            <w:vAlign w:val="bottom"/>
          </w:tcPr>
          <w:p>
            <w:pPr>
              <w:spacing w:after="0"/>
              <w:rPr>
                <w:sz w:val="21"/>
                <w:szCs w:val="21"/>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increase)</w:t>
            </w:r>
          </w:p>
        </w:tc>
        <w:tc>
          <w:tcPr>
            <w:tcW w:w="180" w:type="dxa"/>
            <w:vAlign w:val="bottom"/>
          </w:tcPr>
          <w:p>
            <w:pPr>
              <w:spacing w:after="0"/>
              <w:rPr>
                <w:sz w:val="21"/>
                <w:szCs w:val="21"/>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Security Custodian</w:t>
            </w:r>
          </w:p>
        </w:tc>
        <w:tc>
          <w:tcPr>
            <w:tcW w:w="60" w:type="dxa"/>
            <w:vAlign w:val="bottom"/>
            <w:tcBorders>
              <w:bottom w:val="single" w:sz="8" w:color="auto"/>
            </w:tcBorders>
          </w:tcPr>
          <w:p>
            <w:pPr>
              <w:spacing w:after="0"/>
              <w:rPr>
                <w:sz w:val="21"/>
                <w:szCs w:val="21"/>
                <w:color w:val="auto"/>
              </w:rPr>
            </w:pPr>
          </w:p>
        </w:tc>
      </w:tr>
      <w:tr>
        <w:trPr>
          <w:trHeight w:val="1613"/>
        </w:trPr>
        <w:tc>
          <w:tcPr>
            <w:tcW w:w="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9019"/>
          </w:cols>
          <w:pgMar w:left="1440" w:top="111" w:right="1440" w:bottom="1440" w:gutter="0" w:footer="0" w:header="0"/>
        </w:sectPr>
      </w:pPr>
    </w:p>
    <w:bookmarkStart w:id="85" w:name="page86"/>
    <w:bookmarkEnd w:id="85"/>
    <w:p>
      <w:pPr>
        <w:jc w:val="right"/>
        <w:ind w:right="219"/>
        <w:spacing w:after="0"/>
        <w:rPr>
          <w:sz w:val="20"/>
          <w:szCs w:val="20"/>
          <w:color w:val="auto"/>
        </w:rPr>
      </w:pPr>
      <w:r>
        <w:rPr>
          <w:rFonts w:ascii="Times New Roman" w:cs="Times New Roman" w:eastAsia="Times New Roman" w:hAnsi="Times New Roman"/>
          <w:sz w:val="22"/>
          <w:szCs w:val="22"/>
          <w:b w:val="1"/>
          <w:bCs w:val="1"/>
          <w:color w:val="auto"/>
        </w:rPr>
        <w:t>Exhibit 4.3</w:t>
      </w:r>
    </w:p>
    <w:p>
      <w:pPr>
        <w:spacing w:after="0" w:line="400"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GUARANTEE</w:t>
      </w:r>
    </w:p>
    <w:p>
      <w:pPr>
        <w:spacing w:after="0" w:line="206"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2"/>
          <w:szCs w:val="22"/>
          <w:color w:val="auto"/>
        </w:rPr>
        <w:t>BY WASTE MANAGEMENT HOLDINGS, INC.</w:t>
      </w:r>
    </w:p>
    <w:p>
      <w:pPr>
        <w:spacing w:after="0" w:line="206"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color w:val="auto"/>
        </w:rPr>
        <w:t>(formerly known as Waste Management, Inc.)</w:t>
      </w:r>
    </w:p>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color w:val="auto"/>
        </w:rPr>
        <w:t>in Favor of The Bank of New York Mellon Trust Company, N.A., as Trustee for the Holders</w:t>
      </w:r>
    </w:p>
    <w:p>
      <w:pPr>
        <w:spacing w:after="0" w:line="1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of Certain Debt Securities of</w:t>
      </w:r>
    </w:p>
    <w:p>
      <w:pPr>
        <w:spacing w:after="0" w:line="182"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WASTE MANAGEMENT, INC.</w:t>
      </w:r>
    </w:p>
    <w:p>
      <w:pPr>
        <w:spacing w:after="0" w:line="206"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$750,000,000</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4.950% Senior Notes due 2027</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July 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645160</wp:posOffset>
            </wp:positionV>
            <wp:extent cx="545211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86" w:name="page87"/>
    <w:bookmarkEnd w:id="86"/>
    <w:p>
      <w:pPr>
        <w:jc w:val="both"/>
        <w:ind w:left="200" w:right="219" w:firstLine="648"/>
        <w:spacing w:after="0" w:line="249" w:lineRule="auto"/>
        <w:rPr>
          <w:sz w:val="20"/>
          <w:szCs w:val="20"/>
          <w:color w:val="auto"/>
        </w:rPr>
      </w:pPr>
      <w:r>
        <w:rPr>
          <w:rFonts w:ascii="Times New Roman" w:cs="Times New Roman" w:eastAsia="Times New Roman" w:hAnsi="Times New Roman"/>
          <w:sz w:val="21"/>
          <w:szCs w:val="21"/>
          <w:color w:val="auto"/>
        </w:rPr>
        <w:t>GUARANTEE, dated as of July 3, 2024 (as amended from time to time, this “Guarantee”), made by Waste Management Holdings, Inc. (formerly known as Waste Management, Inc.), a Delaware corporation (the “Guarantor”), in favor of The Bank of New York Mellon Trust Company, N.A., as trustee for the holders of the $750,000,000 aggregate principal amount of 4.950% Senior Notes due 2027 (the “Debt Securities”) of Waste Management, Inc. (formerly known as USA Waste Services, Inc.), a Delaware corporation (the “Issuer”).</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WITNESSETH:</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19" w:firstLine="1305"/>
        <w:spacing w:after="0" w:line="234" w:lineRule="auto"/>
        <w:tabs>
          <w:tab w:leader="none" w:pos="2144"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Guarantor hereby unconditionally guarantees the punctual payment when due, whether at stated maturity, by acceleration or otherwise, of the principal of, premium, if any, and interest on the Debt Securities and any amounts and obligations due and payable with respect to the Debt Securities under Section 607 of the Indenture (as amended, modified or otherwise supplemented from time to time, the “Indenture”), dated as of September 10, 1997, between the Issuer, as successor to USA Waste Services, Inc., and The Bank of New York Mellon Trust Company, N.A. (the current successor to Texas Commerce Bank National Association), as trustee (the “Trustee”) (the “Obligations”), according to the terms of the Debt Securities and the Indenture, as applicable.</w:t>
      </w:r>
    </w:p>
    <w:p>
      <w:pPr>
        <w:spacing w:after="0" w:line="183" w:lineRule="exact"/>
        <w:rPr>
          <w:rFonts w:ascii="Times New Roman" w:cs="Times New Roman" w:eastAsia="Times New Roman" w:hAnsi="Times New Roman"/>
          <w:sz w:val="22"/>
          <w:szCs w:val="22"/>
          <w:color w:val="auto"/>
        </w:rPr>
      </w:pPr>
    </w:p>
    <w:p>
      <w:pPr>
        <w:jc w:val="both"/>
        <w:ind w:left="200" w:right="219" w:firstLine="1305"/>
        <w:spacing w:after="0" w:line="234" w:lineRule="auto"/>
        <w:tabs>
          <w:tab w:leader="none" w:pos="2144"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the intention of the Guarantor that this Guarantee not constitute a fraudulent transfer or conveyance for purposes of Bankruptcy Law, the Uniform Fraudulent Conveyance Act, the Uniform Fraudulent Transfer Act or any similar federal or state law to the extent applicable to this Guarantee. To effectuate the foregoing intention, the amount guaranteed by the Guarantor under this Guarantee shall be limited to the maximum amount as will, after giving effect to such maximum amount and all other contingent and fixed liabilities of the Guarantor (other than guarantees of the Guarantor in respect of subordinated debt) that are relevant under such laws, result in the Obligations of the Guarantor under this Guarantee not constituting a fraudulent transfer or conveyance. For purposes hereof, “Bankruptcy Law” means Title 11, U.S. Code, or any similar Federal or state law for the relief of debtors.</w:t>
      </w:r>
    </w:p>
    <w:p>
      <w:pPr>
        <w:spacing w:after="0" w:line="179"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u w:val="single" w:color="auto"/>
          <w:color w:val="auto"/>
        </w:rPr>
        <w:t>Guarantee Absolute</w:t>
      </w:r>
      <w:r>
        <w:rPr>
          <w:rFonts w:ascii="Times New Roman" w:cs="Times New Roman" w:eastAsia="Times New Roman" w:hAnsi="Times New Roman"/>
          <w:sz w:val="22"/>
          <w:szCs w:val="22"/>
          <w:color w:val="auto"/>
        </w:rPr>
        <w:t>. The Guarantor guarantees that the Obligations will be paid strictly in accordance with the terms of the Indenture, regardless of any law, regulation or order now or hereafter in effect in any jurisdiction affecting any of such terms or the rights of holders of the Debt Securities with respect thereto. The liability of the Guarantor under this Guarantee shall be absolute and unconditional irrespective of:</w:t>
      </w:r>
    </w:p>
    <w:p>
      <w:pPr>
        <w:spacing w:after="0" w:line="177" w:lineRule="exact"/>
        <w:rPr>
          <w:sz w:val="20"/>
          <w:szCs w:val="20"/>
          <w:color w:val="auto"/>
        </w:rPr>
      </w:pPr>
    </w:p>
    <w:p>
      <w:pPr>
        <w:ind w:left="620" w:right="219" w:firstLine="1046"/>
        <w:spacing w:after="0" w:line="258" w:lineRule="auto"/>
        <w:tabs>
          <w:tab w:leader="none" w:pos="2305"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lack of validity or enforceability of the Indenture, the Debt Securities or any other agreement or instrument relating thereto;</w:t>
      </w:r>
    </w:p>
    <w:p>
      <w:pPr>
        <w:spacing w:after="0" w:line="158" w:lineRule="exact"/>
        <w:rPr>
          <w:rFonts w:ascii="Times New Roman" w:cs="Times New Roman" w:eastAsia="Times New Roman" w:hAnsi="Times New Roman"/>
          <w:sz w:val="22"/>
          <w:szCs w:val="22"/>
          <w:color w:val="auto"/>
        </w:rPr>
      </w:pPr>
    </w:p>
    <w:p>
      <w:pPr>
        <w:jc w:val="both"/>
        <w:ind w:left="620" w:right="219" w:firstLine="1046"/>
        <w:spacing w:after="0" w:line="244" w:lineRule="auto"/>
        <w:tabs>
          <w:tab w:leader="none" w:pos="2305"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change in the time, manner or place of payment of, or in any other term of, all or any of the Obligations, or any other amendment or waiver of or any consent to departure from the Indenture;</w:t>
      </w:r>
    </w:p>
    <w:p>
      <w:pPr>
        <w:spacing w:after="0" w:line="173" w:lineRule="exact"/>
        <w:rPr>
          <w:rFonts w:ascii="Times New Roman" w:cs="Times New Roman" w:eastAsia="Times New Roman" w:hAnsi="Times New Roman"/>
          <w:sz w:val="22"/>
          <w:szCs w:val="22"/>
          <w:color w:val="auto"/>
        </w:rPr>
      </w:pPr>
    </w:p>
    <w:p>
      <w:pPr>
        <w:jc w:val="both"/>
        <w:ind w:left="620" w:right="219" w:firstLine="1046"/>
        <w:spacing w:after="0" w:line="244" w:lineRule="auto"/>
        <w:tabs>
          <w:tab w:leader="none" w:pos="2305"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exchange, release or non-perfection of any collateral, or any release or amendment or waiver of or consent to departure from any other guaranty, for all or any of the Obligations;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624840</wp:posOffset>
            </wp:positionV>
            <wp:extent cx="545211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87" w:name="page88"/>
    <w:bookmarkEnd w:id="87"/>
    <w:p>
      <w:pPr>
        <w:ind w:left="620" w:right="219" w:firstLine="1046"/>
        <w:spacing w:after="0" w:line="258" w:lineRule="auto"/>
        <w:tabs>
          <w:tab w:leader="none" w:pos="2305"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circumstance which might otherwise constitute a defense available to, or a discharge of, the Issuer or a guarantor.</w:t>
      </w:r>
    </w:p>
    <w:p>
      <w:pPr>
        <w:spacing w:after="0" w:line="158"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u w:val="single" w:color="auto"/>
          <w:color w:val="auto"/>
        </w:rPr>
        <w:t>Subordination</w:t>
      </w:r>
      <w:r>
        <w:rPr>
          <w:rFonts w:ascii="Times New Roman" w:cs="Times New Roman" w:eastAsia="Times New Roman" w:hAnsi="Times New Roman"/>
          <w:sz w:val="22"/>
          <w:szCs w:val="22"/>
          <w:color w:val="auto"/>
        </w:rPr>
        <w:t xml:space="preserve">. The Guarantor covenants and agrees that its obligation to make payments of the Obligations hereunder constitutes an unsecured obligation of the Guarantor ranking (a) </w:t>
      </w:r>
      <w:r>
        <w:rPr>
          <w:rFonts w:ascii="Times New Roman" w:cs="Times New Roman" w:eastAsia="Times New Roman" w:hAnsi="Times New Roman"/>
          <w:sz w:val="22"/>
          <w:szCs w:val="22"/>
          <w:i w:val="1"/>
          <w:iCs w:val="1"/>
          <w:color w:val="auto"/>
        </w:rPr>
        <w:t>pari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passu </w:t>
      </w:r>
      <w:r>
        <w:rPr>
          <w:rFonts w:ascii="Times New Roman" w:cs="Times New Roman" w:eastAsia="Times New Roman" w:hAnsi="Times New Roman"/>
          <w:sz w:val="22"/>
          <w:szCs w:val="22"/>
          <w:color w:val="auto"/>
        </w:rPr>
        <w:t>with all existing and future senior indebtedness of the Guarantor and (b) senior in right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payment to all existing and future subordinated indebtedness of the Guarantor.</w:t>
      </w:r>
    </w:p>
    <w:p>
      <w:pPr>
        <w:spacing w:after="0" w:line="18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Waiver; Subrogation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19" w:firstLine="1305"/>
        <w:spacing w:after="0" w:line="238" w:lineRule="auto"/>
        <w:tabs>
          <w:tab w:leader="none" w:pos="2144"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Guarantor hereby waives notice of acceptance of this Guarantee, diligence, presentment, demand of payment, filing of claims with a court in the event of merger or bankruptcy of the Issuer, any right to require a proceeding filed first against the Issuer, protest or notice with respect to the Debt Securities or the indebtedness evidenced thereby and all demands whatsoever.</w:t>
      </w:r>
    </w:p>
    <w:p>
      <w:pPr>
        <w:spacing w:after="0" w:line="176" w:lineRule="exact"/>
        <w:rPr>
          <w:rFonts w:ascii="Times New Roman" w:cs="Times New Roman" w:eastAsia="Times New Roman" w:hAnsi="Times New Roman"/>
          <w:sz w:val="22"/>
          <w:szCs w:val="22"/>
          <w:color w:val="auto"/>
        </w:rPr>
      </w:pPr>
    </w:p>
    <w:p>
      <w:pPr>
        <w:jc w:val="both"/>
        <w:ind w:left="200" w:right="219" w:firstLine="1305"/>
        <w:spacing w:after="0" w:line="238" w:lineRule="auto"/>
        <w:tabs>
          <w:tab w:leader="none" w:pos="2144"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Guarantor shall be subrogated to all rights of the Trustee or the holders of any Debt Securities against the Issuer in respect of any amounts paid to the Trustee or such holder by the Guarantor pursuant to the provisions of this Guarantee; provided, however, that the Guarantor shall not be entitled to enforce, or to receive any payments arising out of, or based upon, such right of subrogation until all Obligations shall have been paid in full.</w:t>
      </w:r>
    </w:p>
    <w:p>
      <w:pPr>
        <w:spacing w:after="0" w:line="177"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u w:val="single" w:color="auto"/>
          <w:color w:val="auto"/>
        </w:rPr>
        <w:t>No Waiver, Remedies</w:t>
      </w:r>
      <w:r>
        <w:rPr>
          <w:rFonts w:ascii="Times New Roman" w:cs="Times New Roman" w:eastAsia="Times New Roman" w:hAnsi="Times New Roman"/>
          <w:sz w:val="22"/>
          <w:szCs w:val="22"/>
          <w:color w:val="auto"/>
        </w:rPr>
        <w:t>. No failure on the part of the Trustee or any holder of the Debt Securities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177" w:lineRule="exact"/>
        <w:rPr>
          <w:sz w:val="20"/>
          <w:szCs w:val="20"/>
          <w:color w:val="auto"/>
        </w:rPr>
      </w:pPr>
    </w:p>
    <w:p>
      <w:pPr>
        <w:jc w:val="both"/>
        <w:ind w:left="200" w:right="219" w:firstLine="648"/>
        <w:spacing w:after="0" w:line="245" w:lineRule="auto"/>
        <w:rPr>
          <w:sz w:val="20"/>
          <w:szCs w:val="20"/>
          <w:color w:val="auto"/>
        </w:rPr>
      </w:pPr>
      <w:r>
        <w:rPr>
          <w:rFonts w:ascii="Times New Roman" w:cs="Times New Roman" w:eastAsia="Times New Roman" w:hAnsi="Times New Roman"/>
          <w:sz w:val="21"/>
          <w:szCs w:val="21"/>
          <w:u w:val="single" w:color="auto"/>
          <w:color w:val="auto"/>
        </w:rPr>
        <w:t>Continuing Guarantee; Transfer of Interest</w:t>
      </w:r>
      <w:r>
        <w:rPr>
          <w:rFonts w:ascii="Times New Roman" w:cs="Times New Roman" w:eastAsia="Times New Roman" w:hAnsi="Times New Roman"/>
          <w:sz w:val="21"/>
          <w:szCs w:val="21"/>
          <w:color w:val="auto"/>
        </w:rPr>
        <w:t>. This Guarantee is a continuing guaranty and shall (i) remain in full force and effect until the earliest to occur of (A) the date, if any, on which the Guarantor shall consolidate with or merge into the Issuer or any successor thereto, (B) the date, if any, on which the Issuer or any successor thereto shall consolidate with or merge into the Guarantor, (C) payment in full of the Obligations and (D) the release by the lenders under the Seventh Amended and Restated Revolving Credit Agreement dated as of May 8, 2024 by and among the Issuer, Waste Management of Canada Corporation, WM Quebec Inc., the Guarantor (as guarantor), certain banks party thereto, and Bank of America, N.A., as administrative agent (or under any replacement or new principal credit facility of the Issuer), (ii) be binding upon the Guarantor, its successors and assigns, and (iii) inure to the benefit of and be enforceable by any holder of Debt Securities, the Trustee, and by their respective successors, transferees, and assigns.</w:t>
      </w:r>
    </w:p>
    <w:p>
      <w:pPr>
        <w:spacing w:after="0" w:line="200" w:lineRule="exact"/>
        <w:rPr>
          <w:sz w:val="20"/>
          <w:szCs w:val="20"/>
          <w:color w:val="auto"/>
        </w:rPr>
      </w:pPr>
    </w:p>
    <w:p>
      <w:pPr>
        <w:spacing w:after="0" w:line="220"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u w:val="single" w:color="auto"/>
          <w:color w:val="auto"/>
        </w:rPr>
        <w:t>Reinstatement</w:t>
      </w:r>
      <w:r>
        <w:rPr>
          <w:rFonts w:ascii="Times New Roman" w:cs="Times New Roman" w:eastAsia="Times New Roman" w:hAnsi="Times New Roman"/>
          <w:sz w:val="22"/>
          <w:szCs w:val="22"/>
          <w:color w:val="auto"/>
        </w:rPr>
        <w:t>. This Guarantee shall continue to be effective or be reinstated, as the case may be, if at any time any payment of any of the Obligations is rescinded or must otherwise be returned by any holder of the Debt Securities or the Trustee upon the insolvency, bankruptcy or reorganization of the Issuer or otherwise, all as though such payment had not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629285</wp:posOffset>
            </wp:positionV>
            <wp:extent cx="545211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88" w:name="page89"/>
    <w:bookmarkEnd w:id="88"/>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The Guarantor may amend this Guarantee at any time for any purpose without the consent of the Trustee or any holder of the Debt Securities; provided, however, that if such amendment adversely affects the rights of the Trustee or any holder of the Debt Securities, the prior written consent of the Trustee shall be required.</w:t>
      </w:r>
    </w:p>
    <w:p>
      <w:pPr>
        <w:spacing w:after="0" w:line="180"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GUARANTEE SHALL BE GOVERNED BY, AND CONSTRUED IN ACCORDANCE WITH, THE LAWS OF THE STATE OF NEW YORK, WITHOUT REGARD TO THE PROVISIONS THEREOF RELATING TO CONFLICT OF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629285</wp:posOffset>
            </wp:positionV>
            <wp:extent cx="545211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89" w:name="page90"/>
    <w:bookmarkEnd w:id="89"/>
    <w:p>
      <w:pPr>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IN WITNESS WHEREOF, the Guarantor has caused this Guarantee to be duly executed and delivered by its officer thereunto duly authorized as of the date first above written.</w:t>
      </w:r>
    </w:p>
    <w:p>
      <w:pPr>
        <w:spacing w:after="0" w:line="200" w:lineRule="exact"/>
        <w:rPr>
          <w:sz w:val="20"/>
          <w:szCs w:val="20"/>
          <w:color w:val="auto"/>
        </w:rPr>
      </w:pPr>
    </w:p>
    <w:p>
      <w:pPr>
        <w:spacing w:after="0" w:line="21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1"/>
          <w:szCs w:val="21"/>
          <w:color w:val="auto"/>
        </w:rPr>
        <w:t>WASTE MANAGEMENT HOLDINGS, INC.</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700"/>
        <w:spacing w:after="0"/>
        <w:tabs>
          <w:tab w:leader="none" w:pos="52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i w:val="1"/>
          <w:iCs w:val="1"/>
          <w:u w:val="single" w:color="auto"/>
          <w:color w:val="auto"/>
        </w:rPr>
        <w:t>/s/ Leslie K. Nagy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-11430</wp:posOffset>
            </wp:positionV>
            <wp:extent cx="117983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1179830" cy="8255"/>
                    </a:xfrm>
                    <a:prstGeom prst="rect">
                      <a:avLst/>
                    </a:prstGeom>
                    <a:noFill/>
                  </pic:spPr>
                </pic:pic>
              </a:graphicData>
            </a:graphic>
          </wp:anchor>
        </w:drawing>
      </w:r>
    </w:p>
    <w:p>
      <w:pPr>
        <w:ind w:left="5240"/>
        <w:spacing w:after="0"/>
        <w:rPr>
          <w:sz w:val="20"/>
          <w:szCs w:val="20"/>
          <w:color w:val="auto"/>
        </w:rPr>
      </w:pPr>
      <w:r>
        <w:rPr>
          <w:rFonts w:ascii="Times New Roman" w:cs="Times New Roman" w:eastAsia="Times New Roman" w:hAnsi="Times New Roman"/>
          <w:sz w:val="22"/>
          <w:szCs w:val="22"/>
          <w:color w:val="auto"/>
        </w:rPr>
        <w:t>Leslie K. Nagy</w:t>
      </w:r>
    </w:p>
    <w:p>
      <w:pPr>
        <w:ind w:left="5240"/>
        <w:spacing w:after="0"/>
        <w:rPr>
          <w:sz w:val="20"/>
          <w:szCs w:val="20"/>
          <w:color w:val="auto"/>
        </w:rPr>
      </w:pPr>
      <w:r>
        <w:rPr>
          <w:rFonts w:ascii="Times New Roman" w:cs="Times New Roman" w:eastAsia="Times New Roman" w:hAnsi="Times New Roman"/>
          <w:sz w:val="22"/>
          <w:szCs w:val="22"/>
          <w:color w:val="auto"/>
        </w:rPr>
        <w:t>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700"/>
        <w:spacing w:after="0"/>
        <w:tabs>
          <w:tab w:leader="none" w:pos="52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i w:val="1"/>
          <w:iCs w:val="1"/>
          <w:u w:val="single" w:color="auto"/>
          <w:color w:val="auto"/>
        </w:rPr>
        <w:t>/s/ Courtney A. Tippy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-11430</wp:posOffset>
            </wp:positionV>
            <wp:extent cx="98425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984250" cy="8255"/>
                    </a:xfrm>
                    <a:prstGeom prst="rect">
                      <a:avLst/>
                    </a:prstGeom>
                    <a:noFill/>
                  </pic:spPr>
                </pic:pic>
              </a:graphicData>
            </a:graphic>
          </wp:anchor>
        </w:drawing>
      </w:r>
    </w:p>
    <w:p>
      <w:pPr>
        <w:ind w:left="5240"/>
        <w:spacing w:after="0"/>
        <w:rPr>
          <w:sz w:val="20"/>
          <w:szCs w:val="20"/>
          <w:color w:val="auto"/>
        </w:rPr>
      </w:pPr>
      <w:r>
        <w:rPr>
          <w:rFonts w:ascii="Times New Roman" w:cs="Times New Roman" w:eastAsia="Times New Roman" w:hAnsi="Times New Roman"/>
          <w:sz w:val="22"/>
          <w:szCs w:val="22"/>
          <w:color w:val="auto"/>
        </w:rPr>
        <w:t>Courtney A. Tippy</w:t>
      </w:r>
    </w:p>
    <w:p>
      <w:pPr>
        <w:ind w:left="5240"/>
        <w:spacing w:after="0"/>
        <w:rPr>
          <w:sz w:val="20"/>
          <w:szCs w:val="20"/>
          <w:color w:val="auto"/>
        </w:rPr>
      </w:pPr>
      <w:r>
        <w:rPr>
          <w:rFonts w:ascii="Times New Roman" w:cs="Times New Roman" w:eastAsia="Times New Roman" w:hAnsi="Times New Roman"/>
          <w:sz w:val="22"/>
          <w:szCs w:val="22"/>
          <w:color w:val="auto"/>
        </w:rPr>
        <w:t>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to Guarantee</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(4.950% Senior Notes due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338455</wp:posOffset>
            </wp:positionV>
            <wp:extent cx="545211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22"/>
          <w:szCs w:val="22"/>
          <w:b w:val="1"/>
          <w:bCs w:val="1"/>
          <w:color w:val="auto"/>
        </w:rPr>
        <w:t>Exhibit 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GUARANTEE</w:t>
      </w:r>
    </w:p>
    <w:p>
      <w:pPr>
        <w:spacing w:after="0" w:line="206"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2"/>
          <w:szCs w:val="22"/>
          <w:color w:val="auto"/>
        </w:rPr>
        <w:t>BY WASTE MANAGEMENT HOLDINGS, INC.</w:t>
      </w:r>
    </w:p>
    <w:p>
      <w:pPr>
        <w:spacing w:after="0" w:line="206"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color w:val="auto"/>
        </w:rPr>
        <w:t>(formerly known as Waste Management, Inc.)</w:t>
      </w:r>
    </w:p>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color w:val="auto"/>
        </w:rPr>
        <w:t>in Favor of The Bank of New York Mellon Trust Company, N.A., as Trustee for the Holders</w:t>
      </w:r>
    </w:p>
    <w:p>
      <w:pPr>
        <w:spacing w:after="0" w:line="1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of Certain Debt Securities of</w:t>
      </w:r>
    </w:p>
    <w:p>
      <w:pPr>
        <w:spacing w:after="0" w:line="182"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WASTE MANAGEMENT, INC.</w:t>
      </w:r>
    </w:p>
    <w:p>
      <w:pPr>
        <w:spacing w:after="0" w:line="206"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$750,000,000</w:t>
      </w:r>
    </w:p>
    <w:p>
      <w:pPr>
        <w:spacing w:after="0" w:line="1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4.950% Senior Notes due 2031</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July 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919480</wp:posOffset>
            </wp:positionV>
            <wp:extent cx="629221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08" w:right="999" w:bottom="1440" w:gutter="0" w:footer="0" w:header="0"/>
        </w:sectPr>
      </w:pPr>
    </w:p>
    <w:bookmarkStart w:id="91" w:name="page92"/>
    <w:bookmarkEnd w:id="91"/>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GUARANTEE, dated as of July 3, 2024 (as amended from time to time, this “Guarantee”), made by Waste Management Holdings, Inc. (formerly known as Waste Management, Inc.), a Delaware corporation (the “Guarantor”), in favor of The Bank of New York Mellon Trust Company, N.A., as trustee for the holders of the $750,000,000 aggregate principal amount of 4.950% Senior Notes due 2031 (the “Debt Securities”) of Waste Management, Inc. (formerly known as USA Waste Services, Inc.), a Delaware corporation (the “Issuer”).</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WITNESSETH:</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304"/>
        <w:spacing w:after="0" w:line="248" w:lineRule="auto"/>
        <w:tabs>
          <w:tab w:leader="none" w:pos="1944"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Guarantor hereby unconditionally guarantees the punctual payment when due, whether at stated maturity, by acceleration or otherwise, of the principal of, premium, if any, and interest on the Debt Securities and any amounts and obligations due and payable with respect to the Debt Securities under Section 607 of the Indenture (as amended, modified or otherwise supplemented from time to time, the “Indenture”), dated as of September 10, 1997, between the Issuer, as successor to USA Waste Services, Inc., and The Bank of New York Mellon Trust Company, N.A. (the current successor to Texas Commerce Bank National Association), as trustee (the “Trustee”) (the “Obligations”), according to the terms of the Debt Securities and the Indenture,as applicable.</w:t>
      </w:r>
    </w:p>
    <w:p>
      <w:pPr>
        <w:spacing w:after="0" w:line="170" w:lineRule="exact"/>
        <w:rPr>
          <w:rFonts w:ascii="Times New Roman" w:cs="Times New Roman" w:eastAsia="Times New Roman" w:hAnsi="Times New Roman"/>
          <w:sz w:val="21"/>
          <w:szCs w:val="21"/>
          <w:color w:val="auto"/>
        </w:rPr>
      </w:pPr>
    </w:p>
    <w:p>
      <w:pPr>
        <w:jc w:val="both"/>
        <w:ind w:firstLine="1304"/>
        <w:spacing w:after="0" w:line="234" w:lineRule="auto"/>
        <w:tabs>
          <w:tab w:leader="none" w:pos="1944"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the intention of the Guarantor that this Guarantee not constitute a fraudulent transfer or conveyance for purposes of Bankruptcy Law, the Uniform Fraudulent Conveyance Act, the Uniform Fraudulent Transfer Act or any similar federal or state law to the extent applicable to this Guarantee. To effectuate the foregoing intention, the amount guaranteed by the Guarantor under this Guarantee shall be limited to the maximum amount as will, after giving effect to such maximum amount and all other contingent and fixed liabilities of the Guarantor (other than guarantees of the Guarantor in respect of subordinated debt) that are relevant under such laws, result in the Obligations of the Guarantor under this Guarantee not constituting a fraudulent transfer or conveyance. For purposes hereof, “Bankruptcy Law” means Title 11, U.S. Code, or any similar Federal or state law for the relief of debtors.</w:t>
      </w:r>
    </w:p>
    <w:p>
      <w:pPr>
        <w:spacing w:after="0" w:line="18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Guarantee Absolute</w:t>
      </w:r>
      <w:r>
        <w:rPr>
          <w:rFonts w:ascii="Times New Roman" w:cs="Times New Roman" w:eastAsia="Times New Roman" w:hAnsi="Times New Roman"/>
          <w:sz w:val="22"/>
          <w:szCs w:val="22"/>
          <w:color w:val="auto"/>
        </w:rPr>
        <w:t>. The Guarantor guarantees that the Obligations will be paid strictly in accordance with the terms of the Indenture, regardless of any law, regulation or order now or hereafter in effect in any jurisdiction affecting any of such terms or the rights of holders of the Debt Securities with respect thereto. The liability of the Guarantor under this Guarantee shall be absolute and unconditional irrespective of:</w:t>
      </w:r>
    </w:p>
    <w:p>
      <w:pPr>
        <w:spacing w:after="0" w:line="180" w:lineRule="exact"/>
        <w:rPr>
          <w:sz w:val="20"/>
          <w:szCs w:val="20"/>
          <w:color w:val="auto"/>
        </w:rPr>
      </w:pPr>
    </w:p>
    <w:p>
      <w:pPr>
        <w:ind w:left="260" w:right="20" w:firstLine="1044"/>
        <w:spacing w:after="0" w:line="258" w:lineRule="auto"/>
        <w:tabs>
          <w:tab w:leader="none" w:pos="1945"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lack of validity or enforceability of the Indenture, the Debt Securities or any other agreement or instrument relating thereto;</w:t>
      </w:r>
    </w:p>
    <w:p>
      <w:pPr>
        <w:spacing w:after="0" w:line="158" w:lineRule="exact"/>
        <w:rPr>
          <w:rFonts w:ascii="Times New Roman" w:cs="Times New Roman" w:eastAsia="Times New Roman" w:hAnsi="Times New Roman"/>
          <w:sz w:val="22"/>
          <w:szCs w:val="22"/>
          <w:color w:val="auto"/>
        </w:rPr>
      </w:pPr>
    </w:p>
    <w:p>
      <w:pPr>
        <w:ind w:left="260" w:firstLine="1044"/>
        <w:spacing w:after="0" w:line="258" w:lineRule="auto"/>
        <w:tabs>
          <w:tab w:leader="none" w:pos="1945"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change in the time, manner or place of payment of, or in any other term of, all or any of the Obligations, or any other amendment or waiver of or any consent to departure from the Indenture;</w:t>
      </w:r>
    </w:p>
    <w:p>
      <w:pPr>
        <w:spacing w:after="0" w:line="158" w:lineRule="exact"/>
        <w:rPr>
          <w:rFonts w:ascii="Times New Roman" w:cs="Times New Roman" w:eastAsia="Times New Roman" w:hAnsi="Times New Roman"/>
          <w:sz w:val="22"/>
          <w:szCs w:val="22"/>
          <w:color w:val="auto"/>
        </w:rPr>
      </w:pPr>
    </w:p>
    <w:p>
      <w:pPr>
        <w:ind w:left="260" w:firstLine="1044"/>
        <w:spacing w:after="0" w:line="258" w:lineRule="auto"/>
        <w:tabs>
          <w:tab w:leader="none" w:pos="1945"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exchange, release or non-perfection of any collateral, or any release or amendment or waiver of or consent to departure from any other guaranty, for all or any of the Obligations; or</w:t>
      </w:r>
    </w:p>
    <w:p>
      <w:pPr>
        <w:spacing w:after="0" w:line="158" w:lineRule="exact"/>
        <w:rPr>
          <w:rFonts w:ascii="Times New Roman" w:cs="Times New Roman" w:eastAsia="Times New Roman" w:hAnsi="Times New Roman"/>
          <w:sz w:val="22"/>
          <w:szCs w:val="22"/>
          <w:color w:val="auto"/>
        </w:rPr>
      </w:pPr>
    </w:p>
    <w:p>
      <w:pPr>
        <w:ind w:left="260" w:firstLine="1044"/>
        <w:spacing w:after="0" w:line="258" w:lineRule="auto"/>
        <w:tabs>
          <w:tab w:leader="none" w:pos="1945"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circumstance which might otherwise constitute a defense available to, or a discharge of, the Issuer or a guarantor.</w:t>
      </w:r>
    </w:p>
    <w:p>
      <w:pPr>
        <w:spacing w:after="0" w:line="158"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Subordination</w:t>
      </w:r>
      <w:r>
        <w:rPr>
          <w:rFonts w:ascii="Times New Roman" w:cs="Times New Roman" w:eastAsia="Times New Roman" w:hAnsi="Times New Roman"/>
          <w:sz w:val="22"/>
          <w:szCs w:val="22"/>
          <w:color w:val="auto"/>
        </w:rPr>
        <w:t xml:space="preserve">. The Guarantor covenants and agrees that its obligation to make payments of the Obligations hereunder constitutes an unsecured obligation of the Guarantor ranking (a)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with all existing and future senior indebtedness of the Guarantor and (b) senior in right of payment to all existing and future subordinated indebtedness of the Guarantor.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612140</wp:posOffset>
            </wp:positionV>
            <wp:extent cx="629221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92" w:name="page93"/>
    <w:bookmarkEnd w:id="92"/>
    <w:p>
      <w:pPr>
        <w:ind w:left="660"/>
        <w:spacing w:after="0"/>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Waiver; Subrogation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304"/>
        <w:spacing w:after="0" w:line="239" w:lineRule="auto"/>
        <w:tabs>
          <w:tab w:leader="none" w:pos="1944"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Guarantor hereby waives notice of acceptance of this Guarantee, diligence, presentment, demand of payment, filing of claims with a court in the event of merger or bankruptcy of the Issuer, any right to require a proceeding filed first against the Issuer, protest or notice with respect to the Debt Securities or the indebtedness evidenced thereby and all demands whatsoever.</w:t>
      </w:r>
    </w:p>
    <w:p>
      <w:pPr>
        <w:spacing w:after="0" w:line="180" w:lineRule="exact"/>
        <w:rPr>
          <w:rFonts w:ascii="Times New Roman" w:cs="Times New Roman" w:eastAsia="Times New Roman" w:hAnsi="Times New Roman"/>
          <w:sz w:val="22"/>
          <w:szCs w:val="22"/>
          <w:color w:val="auto"/>
        </w:rPr>
      </w:pPr>
    </w:p>
    <w:p>
      <w:pPr>
        <w:jc w:val="both"/>
        <w:ind w:firstLine="1304"/>
        <w:spacing w:after="0" w:line="238" w:lineRule="auto"/>
        <w:tabs>
          <w:tab w:leader="none" w:pos="1944"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Guarantor shall be subrogated to all rights of the Trustee or the holders of any Debt Securities against the Issuer in respect of any amounts paid to the Trustee or such holder by the Guarantor pursuant to the provisions of this Guarantee; provided, however, that the Guarantor shall not be entitled to enforce, or to receive any payments arising out of, or based upon, such right of subrogation until all Obligations shall have been paid in full.</w:t>
      </w:r>
    </w:p>
    <w:p>
      <w:pPr>
        <w:spacing w:after="0" w:line="17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No Waiver, Remedies</w:t>
      </w:r>
      <w:r>
        <w:rPr>
          <w:rFonts w:ascii="Times New Roman" w:cs="Times New Roman" w:eastAsia="Times New Roman" w:hAnsi="Times New Roman"/>
          <w:sz w:val="22"/>
          <w:szCs w:val="22"/>
          <w:color w:val="auto"/>
        </w:rPr>
        <w:t>. No failure on the part of the Trustee or any holder of the Debt Securities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177"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Continuing Guarantee; Transfer of Interest</w:t>
      </w:r>
      <w:r>
        <w:rPr>
          <w:rFonts w:ascii="Times New Roman" w:cs="Times New Roman" w:eastAsia="Times New Roman" w:hAnsi="Times New Roman"/>
          <w:sz w:val="22"/>
          <w:szCs w:val="22"/>
          <w:color w:val="auto"/>
        </w:rPr>
        <w:t>. This Guarantee is a continuing guaranty and shall (i) remain in full force and effect until the earliest to occur of (A) the date, if any, on which the Guarantor shall consolidate with or merge into the Issuer or any successor thereto, (B) the date, if any, on which the Issuer or any successor thereto shall consolidate with or merge into the Guarantor, (C) payment in full of the Obligations and (D) the release by the lenders under the Seventh Amended and Restated Revolving Credit Agreement dated as of May 8, 2024 by and among the Issuer, Waste Management of Canada Corporation, WM Quebec Inc., the Guarantor (as guarantor), certain banks party thereto, and Bank of America, N.A., as administrative agent (or under any replacement or new principal credit facility of the Issuer), (ii) be binding upon the Guarantor, its successors and assigns, and (iii) inure to the benefit of and be enforceable by any holder of Debt Securities, the Trustee, and by their respective successors, transferees, and assigns.</w:t>
      </w:r>
    </w:p>
    <w:p>
      <w:pPr>
        <w:spacing w:after="0" w:line="179"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u w:val="single" w:color="auto"/>
          <w:color w:val="auto"/>
        </w:rPr>
        <w:t>Reinstatement</w:t>
      </w:r>
      <w:r>
        <w:rPr>
          <w:rFonts w:ascii="Times New Roman" w:cs="Times New Roman" w:eastAsia="Times New Roman" w:hAnsi="Times New Roman"/>
          <w:sz w:val="22"/>
          <w:szCs w:val="22"/>
          <w:color w:val="auto"/>
        </w:rPr>
        <w:t>. This Guarantee shall continue to be effective or be reinstated, as the case may be, if at any time any payment of any of the Obligations is rescinded or must otherwise be returned by any holder of the Debt Securities or the Trustee upon the insolvency, bankruptcy or reorganization of the Issuer or otherwise, all as though such payment had not been made.</w:t>
      </w:r>
    </w:p>
    <w:p>
      <w:pPr>
        <w:spacing w:after="0" w:line="180"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The Guarantor may amend this Guarantee at any time for any purpose without the consent of the Trustee or any holder of the Debt Securities; provided, however, that if such amendment adversely affects the rights of the Trustee or any holder of the Debt Securities, the prior written consent of the Trustee shall be required.</w:t>
      </w:r>
    </w:p>
    <w:p>
      <w:pPr>
        <w:spacing w:after="0" w:line="18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9.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GUARANTEE SHALL BE GOVERNED BY, AND CONSTRUED IN ACCORDANCE WITH, THE LAWS OF THE STATE OF NEW YORK, WITHOUT REGARD TO THE PROVISIONS THEREOF RELATING TO CONFLICT OF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607695</wp:posOffset>
            </wp:positionV>
            <wp:extent cx="629221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93" w:name="page94"/>
    <w:bookmarkEnd w:id="93"/>
    <w:p>
      <w:pPr>
        <w:ind w:firstLine="648"/>
        <w:spacing w:after="0" w:line="258" w:lineRule="auto"/>
        <w:rPr>
          <w:sz w:val="20"/>
          <w:szCs w:val="20"/>
          <w:color w:val="auto"/>
        </w:rPr>
      </w:pPr>
      <w:r>
        <w:rPr>
          <w:rFonts w:ascii="Times New Roman" w:cs="Times New Roman" w:eastAsia="Times New Roman" w:hAnsi="Times New Roman"/>
          <w:sz w:val="22"/>
          <w:szCs w:val="22"/>
          <w:color w:val="auto"/>
        </w:rPr>
        <w:t>IN WITNESS WHEREOF, the Guarantor has caused this Guarantee to be duly executed and delivered by its officer thereunto duly authorized as of the date first above written.</w:t>
      </w:r>
    </w:p>
    <w:p>
      <w:pPr>
        <w:spacing w:after="0" w:line="19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WASTE MANAGEMENT HOLDINGS, INC.</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i w:val="1"/>
          <w:iCs w:val="1"/>
          <w:color w:val="auto"/>
        </w:rPr>
        <w:t>/s/ Leslie K. Nagy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3400425</wp:posOffset>
            </wp:positionH>
            <wp:positionV relativeFrom="paragraph">
              <wp:posOffset>13335</wp:posOffset>
            </wp:positionV>
            <wp:extent cx="289750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color w:val="auto"/>
        </w:rPr>
        <w:t>Leslie K. Nagy</w:t>
      </w:r>
    </w:p>
    <w:p>
      <w:pPr>
        <w:ind w:left="5360"/>
        <w:spacing w:after="0"/>
        <w:rPr>
          <w:sz w:val="20"/>
          <w:szCs w:val="20"/>
          <w:color w:val="auto"/>
        </w:rPr>
      </w:pPr>
      <w:r>
        <w:rPr>
          <w:rFonts w:ascii="Times New Roman" w:cs="Times New Roman" w:eastAsia="Times New Roman" w:hAnsi="Times New Roman"/>
          <w:sz w:val="22"/>
          <w:szCs w:val="22"/>
          <w:color w:val="auto"/>
        </w:rPr>
        <w:t>Vice President and Treasurer</w:t>
      </w:r>
    </w:p>
    <w:p>
      <w:pPr>
        <w:spacing w:after="0" w:line="200" w:lineRule="exact"/>
        <w:rPr>
          <w:sz w:val="20"/>
          <w:szCs w:val="20"/>
          <w:color w:val="auto"/>
        </w:rPr>
      </w:pPr>
    </w:p>
    <w:p>
      <w:pPr>
        <w:spacing w:after="0" w:line="24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i w:val="1"/>
          <w:iCs w:val="1"/>
          <w:color w:val="auto"/>
        </w:rPr>
        <w:t>/s/ Courtney A. Tippy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3400425</wp:posOffset>
            </wp:positionH>
            <wp:positionV relativeFrom="paragraph">
              <wp:posOffset>13335</wp:posOffset>
            </wp:positionV>
            <wp:extent cx="289750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color w:val="auto"/>
        </w:rPr>
        <w:t>Courtney A. Tippy</w:t>
      </w:r>
    </w:p>
    <w:p>
      <w:pPr>
        <w:ind w:left="5360"/>
        <w:spacing w:after="0"/>
        <w:rPr>
          <w:sz w:val="20"/>
          <w:szCs w:val="20"/>
          <w:color w:val="auto"/>
        </w:rPr>
      </w:pPr>
      <w:r>
        <w:rPr>
          <w:rFonts w:ascii="Times New Roman" w:cs="Times New Roman" w:eastAsia="Times New Roman" w:hAnsi="Times New Roman"/>
          <w:sz w:val="22"/>
          <w:szCs w:val="22"/>
          <w:color w:val="auto"/>
        </w:rPr>
        <w:t>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to Guarantee</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(4.950% Senior Notes due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338455</wp:posOffset>
            </wp:positionV>
            <wp:extent cx="629221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22.1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GUARANTOR SUBSIDIARY</w:t>
      </w:r>
    </w:p>
    <w:p>
      <w:pPr>
        <w:spacing w:after="0" w:line="20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As of June 30, 2024, Waste Management Holdings, Inc. (“WM Holdings”), a Delaware corporation and a direct wholly-owned subsidiary of Waste Management, Inc. (“WMI”), has fully and unconditionally guaranteed all registered Senior Notes issued by WMI, as listed below. Additionally, WMI has fully and unconditionally guaranteed the 7.10% Senior Notes due 2026 issued by WM Holdings.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2380" w:type="dxa"/>
            <w:vAlign w:val="bottom"/>
            <w:gridSpan w:val="2"/>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6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2380" w:type="dxa"/>
            <w:vAlign w:val="bottom"/>
            <w:gridSpan w:val="2"/>
          </w:tcPr>
          <w:p>
            <w:pPr>
              <w:jc w:val="center"/>
              <w:ind w:right="124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2680" w:type="dxa"/>
            <w:vAlign w:val="bottom"/>
            <w:gridSpan w:val="2"/>
            <w:vMerge w:val="continue"/>
          </w:tcPr>
          <w:p>
            <w:pPr>
              <w:spacing w:after="0"/>
              <w:rPr>
                <w:sz w:val="12"/>
                <w:szCs w:val="12"/>
                <w:color w:val="auto"/>
              </w:rPr>
            </w:pPr>
          </w:p>
        </w:tc>
        <w:tc>
          <w:tcPr>
            <w:tcW w:w="180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Issue Date</w:t>
            </w:r>
          </w:p>
        </w:tc>
        <w:tc>
          <w:tcPr>
            <w:tcW w:w="860" w:type="dxa"/>
            <w:vAlign w:val="bottom"/>
            <w:vMerge w:val="restart"/>
          </w:tcPr>
          <w:p>
            <w:pPr>
              <w:spacing w:after="0"/>
              <w:rPr>
                <w:sz w:val="12"/>
                <w:szCs w:val="12"/>
                <w:color w:val="auto"/>
              </w:rPr>
            </w:pPr>
          </w:p>
        </w:tc>
        <w:tc>
          <w:tcPr>
            <w:tcW w:w="182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0" w:type="dxa"/>
            <w:vAlign w:val="bottom"/>
          </w:tcPr>
          <w:p>
            <w:pPr>
              <w:spacing w:after="0"/>
              <w:rPr>
                <w:sz w:val="1"/>
                <w:szCs w:val="1"/>
                <w:color w:val="auto"/>
              </w:rPr>
            </w:pPr>
          </w:p>
        </w:tc>
      </w:tr>
      <w:tr>
        <w:trPr>
          <w:trHeight w:val="173"/>
        </w:trPr>
        <w:tc>
          <w:tcPr>
            <w:tcW w:w="3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center"/>
              <w:ind w:right="272"/>
              <w:spacing w:after="0"/>
              <w:rPr>
                <w:sz w:val="20"/>
                <w:szCs w:val="20"/>
                <w:color w:val="auto"/>
              </w:rPr>
            </w:pPr>
            <w:r>
              <w:rPr>
                <w:rFonts w:ascii="Times New Roman" w:cs="Times New Roman" w:eastAsia="Times New Roman" w:hAnsi="Times New Roman"/>
                <w:sz w:val="14"/>
                <w:szCs w:val="14"/>
                <w:b w:val="1"/>
                <w:bCs w:val="1"/>
                <w:color w:val="auto"/>
                <w:w w:val="99"/>
              </w:rPr>
              <w:t>Issued</w:t>
            </w:r>
          </w:p>
        </w:tc>
        <w:tc>
          <w:tcPr>
            <w:tcW w:w="880" w:type="dxa"/>
            <w:vAlign w:val="bottom"/>
            <w:tcBorders>
              <w:bottom w:val="single" w:sz="8" w:color="CCEEFF"/>
            </w:tcBorders>
          </w:tcPr>
          <w:p>
            <w:pPr>
              <w:spacing w:after="0"/>
              <w:rPr>
                <w:sz w:val="15"/>
                <w:szCs w:val="15"/>
                <w:color w:val="auto"/>
              </w:rPr>
            </w:pPr>
          </w:p>
        </w:tc>
        <w:tc>
          <w:tcPr>
            <w:tcW w:w="18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(per annum)</w:t>
            </w:r>
          </w:p>
        </w:tc>
        <w:tc>
          <w:tcPr>
            <w:tcW w:w="880" w:type="dxa"/>
            <w:vAlign w:val="bottom"/>
            <w:tcBorders>
              <w:bottom w:val="single" w:sz="8" w:color="CCEEFF"/>
            </w:tcBorders>
          </w:tcPr>
          <w:p>
            <w:pPr>
              <w:spacing w:after="0"/>
              <w:rPr>
                <w:sz w:val="15"/>
                <w:szCs w:val="15"/>
                <w:color w:val="auto"/>
              </w:rPr>
            </w:pPr>
          </w:p>
        </w:tc>
        <w:tc>
          <w:tcPr>
            <w:tcW w:w="180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CCEEFF"/>
            </w:tcBorders>
            <w:vMerge w:val="continue"/>
          </w:tcPr>
          <w:p>
            <w:pPr>
              <w:spacing w:after="0"/>
              <w:rPr>
                <w:sz w:val="15"/>
                <w:szCs w:val="15"/>
                <w:color w:val="auto"/>
              </w:rPr>
            </w:pPr>
          </w:p>
        </w:tc>
        <w:tc>
          <w:tcPr>
            <w:tcW w:w="18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million</w:t>
            </w:r>
          </w:p>
        </w:tc>
        <w:tc>
          <w:tcPr>
            <w:tcW w:w="88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7.00%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7/17/1998</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7/15/2028</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250 million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7.375%</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1/21/2000</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5/15/2029</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500 million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7.75%</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1/3/2003</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5/15/2032</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600 million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6.125%</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11/17/2009</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11/30/2039</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600 million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3.125%</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2/26/2015</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3/1/2025</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450 million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3.90%</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2/26/2015</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3/1/2035</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750 million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4.10%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2/26/2015</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3/1/2045</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750 million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3.15%</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11/8/2017</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11/15/2027</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1 billion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4.15%</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5/22/2019</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7/15/2049</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500 million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0.75%</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11/17/2020</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11/15/2025</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500 million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1.15%</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11/17/2020</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3/15/2028</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1 billion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1.50%</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11/17/2020</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3/15/2031</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500 million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2.50%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11/17/2020</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11/15/2050</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475 million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2.00%</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5/12/2021</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6/1/2029</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475 million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2.95%</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5/12/2021</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6/1/2041</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1 billion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4.15%</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5/12/2022</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4/15/2032</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750 million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4.625%</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2/15/2023</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2/15/2030</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500 million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4.625%</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2/15/2023</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2/15/2033</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750 million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4.875%</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8/3/2023</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2/15/2029</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1.250 billion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4.875%</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8/3/2023</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2/15/2034</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750 million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4.950%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7/3/2024*</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7/3/2027</w:t>
            </w:r>
          </w:p>
        </w:tc>
        <w:tc>
          <w:tcPr>
            <w:tcW w:w="0" w:type="dxa"/>
            <w:vAlign w:val="bottom"/>
          </w:tcPr>
          <w:p>
            <w:pPr>
              <w:spacing w:after="0"/>
              <w:rPr>
                <w:sz w:val="1"/>
                <w:szCs w:val="1"/>
                <w:color w:val="auto"/>
              </w:rPr>
            </w:pPr>
          </w:p>
        </w:tc>
      </w:tr>
      <w:tr>
        <w:trPr>
          <w:trHeight w:val="234"/>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750 million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4.950%</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7/3/2024*</w:t>
            </w:r>
          </w:p>
        </w:tc>
        <w:tc>
          <w:tcPr>
            <w:tcW w:w="86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7/3/2031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57150</wp:posOffset>
            </wp:positionV>
            <wp:extent cx="156845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Sale of these Senior Notes occurred on June 24, 2024 and delivery occurred on July 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95" w:name="page96"/>
    <w:bookmarkEnd w:id="95"/>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58" w:lineRule="exact"/>
        <w:rPr>
          <w:sz w:val="20"/>
          <w:szCs w:val="20"/>
          <w:color w:val="auto"/>
        </w:rPr>
      </w:pPr>
    </w:p>
    <w:p>
      <w:pPr>
        <w:jc w:val="center"/>
        <w:ind w:left="60" w:right="79"/>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James C. Fish, Jr., certify that:</w:t>
      </w:r>
    </w:p>
    <w:p>
      <w:pPr>
        <w:spacing w:after="0" w:line="158" w:lineRule="exact"/>
        <w:rPr>
          <w:sz w:val="20"/>
          <w:szCs w:val="20"/>
          <w:color w:val="auto"/>
        </w:rPr>
      </w:pPr>
    </w:p>
    <w:p>
      <w:pPr>
        <w:ind w:left="640" w:hanging="266"/>
        <w:spacing w:after="0"/>
        <w:tabs>
          <w:tab w:leader="none" w:pos="6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Waste Management, Inc.;</w:t>
      </w:r>
    </w:p>
    <w:p>
      <w:pPr>
        <w:spacing w:after="0" w:line="157" w:lineRule="exact"/>
        <w:rPr>
          <w:rFonts w:ascii="Times New Roman" w:cs="Times New Roman" w:eastAsia="Times New Roman" w:hAnsi="Times New Roman"/>
          <w:sz w:val="18"/>
          <w:szCs w:val="18"/>
          <w:color w:val="auto"/>
        </w:rPr>
      </w:pPr>
    </w:p>
    <w:p>
      <w:pPr>
        <w:ind w:left="60" w:right="79" w:firstLine="314"/>
        <w:spacing w:after="0" w:line="266" w:lineRule="auto"/>
        <w:tabs>
          <w:tab w:leader="none" w:pos="609"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60" w:right="239" w:firstLine="314"/>
        <w:spacing w:after="0" w:line="266" w:lineRule="auto"/>
        <w:tabs>
          <w:tab w:leader="none" w:pos="56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ind w:left="60" w:right="159" w:firstLine="314"/>
        <w:spacing w:after="0" w:line="266" w:lineRule="auto"/>
        <w:tabs>
          <w:tab w:leader="none" w:pos="561"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08" w:lineRule="exact"/>
        <w:rPr>
          <w:rFonts w:ascii="Times New Roman" w:cs="Times New Roman" w:eastAsia="Times New Roman" w:hAnsi="Times New Roman"/>
          <w:sz w:val="18"/>
          <w:szCs w:val="18"/>
          <w:color w:val="auto"/>
        </w:rPr>
      </w:pPr>
    </w:p>
    <w:p>
      <w:pPr>
        <w:ind w:left="380" w:right="99" w:firstLine="318"/>
        <w:spacing w:after="0" w:line="261" w:lineRule="auto"/>
        <w:tabs>
          <w:tab w:leader="none" w:pos="994"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2" w:lineRule="exact"/>
        <w:rPr>
          <w:rFonts w:ascii="Times New Roman" w:cs="Times New Roman" w:eastAsia="Times New Roman" w:hAnsi="Times New Roman"/>
          <w:sz w:val="18"/>
          <w:szCs w:val="18"/>
          <w:color w:val="auto"/>
        </w:rPr>
      </w:pPr>
    </w:p>
    <w:p>
      <w:pPr>
        <w:ind w:left="380" w:right="299" w:firstLine="318"/>
        <w:spacing w:after="0" w:line="261" w:lineRule="auto"/>
        <w:tabs>
          <w:tab w:leader="none" w:pos="1004"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2" w:lineRule="exact"/>
        <w:rPr>
          <w:rFonts w:ascii="Times New Roman" w:cs="Times New Roman" w:eastAsia="Times New Roman" w:hAnsi="Times New Roman"/>
          <w:sz w:val="18"/>
          <w:szCs w:val="18"/>
          <w:color w:val="auto"/>
        </w:rPr>
      </w:pPr>
    </w:p>
    <w:p>
      <w:pPr>
        <w:jc w:val="both"/>
        <w:ind w:left="380" w:right="219" w:firstLine="318"/>
        <w:spacing w:after="0" w:line="266" w:lineRule="auto"/>
        <w:tabs>
          <w:tab w:leader="none" w:pos="994"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380" w:right="99" w:firstLine="318"/>
        <w:spacing w:after="0" w:line="261" w:lineRule="auto"/>
        <w:tabs>
          <w:tab w:leader="none" w:pos="1004"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12" w:lineRule="exact"/>
        <w:rPr>
          <w:rFonts w:ascii="Times New Roman" w:cs="Times New Roman" w:eastAsia="Times New Roman" w:hAnsi="Times New Roman"/>
          <w:sz w:val="18"/>
          <w:szCs w:val="18"/>
          <w:color w:val="auto"/>
        </w:rPr>
      </w:pPr>
    </w:p>
    <w:p>
      <w:pPr>
        <w:ind w:left="60" w:right="359" w:firstLine="314"/>
        <w:spacing w:after="0" w:line="266" w:lineRule="auto"/>
        <w:tabs>
          <w:tab w:leader="none" w:pos="60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380" w:right="99" w:firstLine="318"/>
        <w:spacing w:after="0" w:line="266" w:lineRule="auto"/>
        <w:tabs>
          <w:tab w:leader="none" w:pos="984"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8"/>
          <w:szCs w:val="18"/>
          <w:color w:val="auto"/>
        </w:rPr>
      </w:pPr>
    </w:p>
    <w:p>
      <w:pPr>
        <w:ind w:left="380" w:right="119" w:firstLine="318"/>
        <w:spacing w:after="0" w:line="282" w:lineRule="auto"/>
        <w:tabs>
          <w:tab w:leader="none" w:pos="994"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w w:val="92"/>
              </w:rPr>
              <w:t>By:</w:t>
            </w:r>
          </w:p>
        </w:tc>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JAMES C. FISH, JR.</w:t>
            </w:r>
          </w:p>
        </w:tc>
      </w:tr>
      <w:tr>
        <w:trPr>
          <w:trHeight w:val="189"/>
        </w:trPr>
        <w:tc>
          <w:tcPr>
            <w:tcW w:w="260" w:type="dxa"/>
            <w:vAlign w:val="bottom"/>
          </w:tcPr>
          <w:p>
            <w:pPr>
              <w:spacing w:after="0"/>
              <w:rPr>
                <w:sz w:val="16"/>
                <w:szCs w:val="16"/>
                <w:color w:val="auto"/>
              </w:rPr>
            </w:pPr>
          </w:p>
        </w:tc>
        <w:tc>
          <w:tcPr>
            <w:tcW w:w="41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James C. Fish, Jr.</w:t>
            </w:r>
          </w:p>
        </w:tc>
      </w:tr>
      <w:tr>
        <w:trPr>
          <w:trHeight w:val="236"/>
        </w:trPr>
        <w:tc>
          <w:tcPr>
            <w:tcW w:w="260" w:type="dxa"/>
            <w:vAlign w:val="bottom"/>
          </w:tcPr>
          <w:p>
            <w:pPr>
              <w:spacing w:after="0"/>
              <w:rPr>
                <w:sz w:val="20"/>
                <w:szCs w:val="20"/>
                <w:color w:val="auto"/>
              </w:rPr>
            </w:pP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President and Chief Executive Officer</w:t>
            </w: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July 25,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514350</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96" w:name="page97"/>
    <w:bookmarkEnd w:id="96"/>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2" w:lineRule="exact"/>
        <w:rPr>
          <w:sz w:val="20"/>
          <w:szCs w:val="20"/>
          <w:color w:val="auto"/>
        </w:rPr>
      </w:pPr>
    </w:p>
    <w:p>
      <w:pPr>
        <w:jc w:val="center"/>
        <w:ind w:left="60" w:right="79"/>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Devina A. Rankin, certify that:</w:t>
      </w:r>
    </w:p>
    <w:p>
      <w:pPr>
        <w:spacing w:after="0" w:line="158" w:lineRule="exact"/>
        <w:rPr>
          <w:sz w:val="20"/>
          <w:szCs w:val="20"/>
          <w:color w:val="auto"/>
        </w:rPr>
      </w:pPr>
    </w:p>
    <w:p>
      <w:pPr>
        <w:ind w:left="640" w:hanging="266"/>
        <w:spacing w:after="0"/>
        <w:tabs>
          <w:tab w:leader="none" w:pos="6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Waste Management, Inc.;</w:t>
      </w:r>
    </w:p>
    <w:p>
      <w:pPr>
        <w:spacing w:after="0" w:line="157" w:lineRule="exact"/>
        <w:rPr>
          <w:rFonts w:ascii="Times New Roman" w:cs="Times New Roman" w:eastAsia="Times New Roman" w:hAnsi="Times New Roman"/>
          <w:sz w:val="18"/>
          <w:szCs w:val="18"/>
          <w:color w:val="auto"/>
        </w:rPr>
      </w:pPr>
    </w:p>
    <w:p>
      <w:pPr>
        <w:ind w:left="60" w:right="79" w:firstLine="314"/>
        <w:spacing w:after="0" w:line="266" w:lineRule="auto"/>
        <w:tabs>
          <w:tab w:leader="none" w:pos="60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60" w:right="239" w:firstLine="314"/>
        <w:spacing w:after="0" w:line="266" w:lineRule="auto"/>
        <w:tabs>
          <w:tab w:leader="none" w:pos="56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ind w:left="60" w:right="159" w:firstLine="314"/>
        <w:spacing w:after="0" w:line="266" w:lineRule="auto"/>
        <w:tabs>
          <w:tab w:leader="none" w:pos="561"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08" w:lineRule="exact"/>
        <w:rPr>
          <w:rFonts w:ascii="Times New Roman" w:cs="Times New Roman" w:eastAsia="Times New Roman" w:hAnsi="Times New Roman"/>
          <w:sz w:val="18"/>
          <w:szCs w:val="18"/>
          <w:color w:val="auto"/>
        </w:rPr>
      </w:pPr>
    </w:p>
    <w:p>
      <w:pPr>
        <w:ind w:left="380" w:right="99" w:firstLine="318"/>
        <w:spacing w:after="0" w:line="261" w:lineRule="auto"/>
        <w:tabs>
          <w:tab w:leader="none" w:pos="994"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2" w:lineRule="exact"/>
        <w:rPr>
          <w:rFonts w:ascii="Times New Roman" w:cs="Times New Roman" w:eastAsia="Times New Roman" w:hAnsi="Times New Roman"/>
          <w:sz w:val="18"/>
          <w:szCs w:val="18"/>
          <w:color w:val="auto"/>
        </w:rPr>
      </w:pPr>
    </w:p>
    <w:p>
      <w:pPr>
        <w:ind w:left="380" w:right="299" w:firstLine="318"/>
        <w:spacing w:after="0" w:line="261" w:lineRule="auto"/>
        <w:tabs>
          <w:tab w:leader="none" w:pos="1004"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2" w:lineRule="exact"/>
        <w:rPr>
          <w:rFonts w:ascii="Times New Roman" w:cs="Times New Roman" w:eastAsia="Times New Roman" w:hAnsi="Times New Roman"/>
          <w:sz w:val="18"/>
          <w:szCs w:val="18"/>
          <w:color w:val="auto"/>
        </w:rPr>
      </w:pPr>
    </w:p>
    <w:p>
      <w:pPr>
        <w:jc w:val="both"/>
        <w:ind w:left="380" w:right="219" w:firstLine="318"/>
        <w:spacing w:after="0" w:line="266" w:lineRule="auto"/>
        <w:tabs>
          <w:tab w:leader="none" w:pos="994"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380" w:right="99" w:firstLine="318"/>
        <w:spacing w:after="0" w:line="261" w:lineRule="auto"/>
        <w:tabs>
          <w:tab w:leader="none" w:pos="1004"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12" w:lineRule="exact"/>
        <w:rPr>
          <w:rFonts w:ascii="Times New Roman" w:cs="Times New Roman" w:eastAsia="Times New Roman" w:hAnsi="Times New Roman"/>
          <w:sz w:val="18"/>
          <w:szCs w:val="18"/>
          <w:color w:val="auto"/>
        </w:rPr>
      </w:pPr>
    </w:p>
    <w:p>
      <w:pPr>
        <w:ind w:left="60" w:right="359" w:firstLine="314"/>
        <w:spacing w:after="0" w:line="266" w:lineRule="auto"/>
        <w:tabs>
          <w:tab w:leader="none" w:pos="60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380" w:right="99" w:firstLine="318"/>
        <w:spacing w:after="0" w:line="266" w:lineRule="auto"/>
        <w:tabs>
          <w:tab w:leader="none" w:pos="984"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8"/>
          <w:szCs w:val="18"/>
          <w:color w:val="auto"/>
        </w:rPr>
      </w:pPr>
    </w:p>
    <w:p>
      <w:pPr>
        <w:ind w:left="380" w:right="119" w:firstLine="318"/>
        <w:spacing w:after="0" w:line="282" w:lineRule="auto"/>
        <w:tabs>
          <w:tab w:leader="none" w:pos="994"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tbl>
      <w:tblPr>
        <w:tblLayout w:type="fixed"/>
        <w:tblInd w:w="456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w w:val="99"/>
              </w:rPr>
              <w:t>By:</w:t>
            </w:r>
          </w:p>
        </w:tc>
        <w:tc>
          <w:tcPr>
            <w:tcW w:w="4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DEVINA A. RANKIN</w:t>
            </w:r>
          </w:p>
        </w:tc>
      </w:tr>
      <w:tr>
        <w:trPr>
          <w:trHeight w:val="189"/>
        </w:trPr>
        <w:tc>
          <w:tcPr>
            <w:tcW w:w="280" w:type="dxa"/>
            <w:vAlign w:val="bottom"/>
          </w:tcPr>
          <w:p>
            <w:pPr>
              <w:spacing w:after="0"/>
              <w:rPr>
                <w:sz w:val="16"/>
                <w:szCs w:val="16"/>
                <w:color w:val="auto"/>
              </w:rPr>
            </w:pPr>
          </w:p>
        </w:tc>
        <w:tc>
          <w:tcPr>
            <w:tcW w:w="41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Devina A. Rankin</w:t>
            </w:r>
          </w:p>
        </w:tc>
      </w:tr>
      <w:tr>
        <w:trPr>
          <w:trHeight w:val="236"/>
        </w:trPr>
        <w:tc>
          <w:tcPr>
            <w:tcW w:w="28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Executive Vice President and Chief Financial Officer</w:t>
            </w: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July 25,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651510</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97" w:name="page98"/>
    <w:bookmarkEnd w:id="97"/>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Waste Management, Inc. (the “Company”) on Form 10-Q for the period ended June 30, 2024 as filed with the Securities and Exchange Commission on the date hereof (the “Report”), I, James C. Fish, Jr., Chief Executive Officer of the Company, certify, pursuant to 18 U.S.C. § 1350, as adopted pursuant to § 906 of the Sarbanes-Oxley Act of 2002, that:</w:t>
      </w:r>
    </w:p>
    <w:p>
      <w:pPr>
        <w:spacing w:after="0" w:line="180" w:lineRule="exact"/>
        <w:rPr>
          <w:sz w:val="20"/>
          <w:szCs w:val="20"/>
          <w:color w:val="auto"/>
        </w:rPr>
      </w:pPr>
    </w:p>
    <w:p>
      <w:pPr>
        <w:ind w:left="380" w:right="239" w:firstLine="318"/>
        <w:spacing w:after="0" w:line="282" w:lineRule="auto"/>
        <w:tabs>
          <w:tab w:leader="none" w:pos="1001"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380" w:right="319" w:firstLine="318"/>
        <w:spacing w:after="0" w:line="282" w:lineRule="auto"/>
        <w:tabs>
          <w:tab w:leader="none" w:pos="1001"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JAMES C. FISH, JR.</w:t>
            </w:r>
          </w:p>
        </w:tc>
      </w:tr>
      <w:tr>
        <w:trPr>
          <w:trHeight w:val="189"/>
        </w:trPr>
        <w:tc>
          <w:tcPr>
            <w:tcW w:w="320" w:type="dxa"/>
            <w:vAlign w:val="bottom"/>
          </w:tcPr>
          <w:p>
            <w:pPr>
              <w:spacing w:after="0"/>
              <w:rPr>
                <w:sz w:val="16"/>
                <w:szCs w:val="16"/>
                <w:color w:val="auto"/>
              </w:rPr>
            </w:pPr>
          </w:p>
        </w:tc>
        <w:tc>
          <w:tcPr>
            <w:tcW w:w="41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James C. Fish, Jr.</w:t>
            </w:r>
          </w:p>
        </w:tc>
      </w:tr>
      <w:tr>
        <w:trPr>
          <w:trHeight w:val="236"/>
        </w:trPr>
        <w:tc>
          <w:tcPr>
            <w:tcW w:w="32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President and Chief Executive Officer</w:t>
            </w: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July 25,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651510</wp:posOffset>
            </wp:positionV>
            <wp:extent cx="565785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98" w:name="page99"/>
    <w:bookmarkEnd w:id="98"/>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Waste Management, Inc. (the “Company”) on Form 10-Q for the period ended June 30, 2024 as filed with the Securities and Exchange Commission on the date hereof (the “Report”), I, Devina A. Rankin, Chief Financial Officer of the Company, certify, pursuant to 18 U.S.C. § 1350, as adopted pursuant to § 906 of the Sarbanes-Oxley Act of 2002, that:</w:t>
      </w:r>
    </w:p>
    <w:p>
      <w:pPr>
        <w:spacing w:after="0" w:line="180" w:lineRule="exact"/>
        <w:rPr>
          <w:sz w:val="20"/>
          <w:szCs w:val="20"/>
          <w:color w:val="auto"/>
        </w:rPr>
      </w:pPr>
    </w:p>
    <w:p>
      <w:pPr>
        <w:ind w:left="380" w:right="239" w:firstLine="318"/>
        <w:spacing w:after="0" w:line="282" w:lineRule="auto"/>
        <w:tabs>
          <w:tab w:leader="none" w:pos="1001"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380" w:right="59" w:firstLine="318"/>
        <w:spacing w:after="0" w:line="282" w:lineRule="auto"/>
        <w:tabs>
          <w:tab w:leader="none" w:pos="1031"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tbl>
      <w:tblPr>
        <w:tblLayout w:type="fixed"/>
        <w:tblInd w:w="418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DEVINA A. RANKIN</w:t>
            </w:r>
          </w:p>
        </w:tc>
      </w:tr>
      <w:tr>
        <w:trPr>
          <w:trHeight w:val="189"/>
        </w:trPr>
        <w:tc>
          <w:tcPr>
            <w:tcW w:w="320" w:type="dxa"/>
            <w:vAlign w:val="bottom"/>
          </w:tcPr>
          <w:p>
            <w:pPr>
              <w:spacing w:after="0"/>
              <w:rPr>
                <w:sz w:val="16"/>
                <w:szCs w:val="16"/>
                <w:color w:val="auto"/>
              </w:rPr>
            </w:pPr>
          </w:p>
        </w:tc>
        <w:tc>
          <w:tcPr>
            <w:tcW w:w="44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Devina A. Rankin</w:t>
            </w:r>
          </w:p>
        </w:tc>
      </w:tr>
      <w:tr>
        <w:trPr>
          <w:trHeight w:val="236"/>
        </w:trPr>
        <w:tc>
          <w:tcPr>
            <w:tcW w:w="320" w:type="dxa"/>
            <w:vAlign w:val="bottom"/>
          </w:tcPr>
          <w:p>
            <w:pPr>
              <w:spacing w:after="0"/>
              <w:rPr>
                <w:sz w:val="20"/>
                <w:szCs w:val="20"/>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Executive Vice President and Chief Financial Officer</w:t>
            </w: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July 25,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514350</wp:posOffset>
            </wp:positionV>
            <wp:extent cx="565785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99" w:name="page100"/>
    <w:bookmarkEnd w:id="99"/>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95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 Safety Disclosures</w:t>
      </w:r>
    </w:p>
    <w:p>
      <w:pPr>
        <w:spacing w:after="0" w:line="21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This exhibit contains certain specified disclosures regarding mine safety required by section 1503(a) of the Dodd-Frank Wall Street Reform and Consumer Protection Act and Item 104 of Regulation S-K. Certain of our subsidiaries have permits for surface mining operations that are incidental to excavation work for landfill development.</w:t>
      </w:r>
    </w:p>
    <w:p>
      <w:pPr>
        <w:spacing w:after="0" w:line="176"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During the quarter ended June 30, 2024, we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Federal Mine Safety and Health Act of 1977 (the “Mine Safety Act”); (b) an order issued under section 104(b) of the Mine Safety Act; (c) a citation or order for unwarrantable failure of the mine operator to comply with mandatory health or safety standards under section 104(d) of the Mine Safety Act; (d) a flagrant violation under section 110(b)(2) of the Mine Safety Act; or (e) an imminent danger order under section 107(a) of the Mine Safety Act or (f) a proposed assessment from the MSHA.</w:t>
      </w:r>
    </w:p>
    <w:p>
      <w:pPr>
        <w:spacing w:after="0" w:line="19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 addition, during the quarter ended June 30, 2024, we had no mining-related fatalities, we had no pending legal actions before the Federal Mine Safety and Health Review Commission involving a coal or other mine, and we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336550</wp:posOffset>
            </wp:positionV>
            <wp:extent cx="56578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2289EC"/>
    <w:multiLevelType w:val="hybridMultilevel"/>
    <w:lvl w:ilvl="0">
      <w:lvlJc w:val="left"/>
      <w:lvlText w:val="☑"/>
      <w:numFmt w:val="bullet"/>
      <w:start w:val="1"/>
    </w:lvl>
  </w:abstractNum>
  <w:abstractNum w:abstractNumId="1">
    <w:nsid w:val="6DE91B18"/>
    <w:multiLevelType w:val="hybridMultilevel"/>
    <w:lvl w:ilvl="0">
      <w:lvlJc w:val="left"/>
      <w:lvlText w:val="☐"/>
      <w:numFmt w:val="bullet"/>
      <w:start w:val="1"/>
    </w:lvl>
  </w:abstractNum>
  <w:abstractNum w:abstractNumId="2">
    <w:nsid w:val="38437FDB"/>
    <w:multiLevelType w:val="hybridMultilevel"/>
    <w:lvl w:ilvl="0">
      <w:lvlJc w:val="left"/>
      <w:lvlText w:val="%1."/>
      <w:numFmt w:val="decimal"/>
      <w:start w:val="2"/>
    </w:lvl>
  </w:abstractNum>
  <w:abstractNum w:abstractNumId="3">
    <w:nsid w:val="7644A45C"/>
    <w:multiLevelType w:val="hybridMultilevel"/>
    <w:lvl w:ilvl="0">
      <w:lvlJc w:val="left"/>
      <w:lvlText w:val="%1."/>
      <w:numFmt w:val="decimal"/>
      <w:start w:val="3"/>
    </w:lvl>
  </w:abstractNum>
  <w:abstractNum w:abstractNumId="4">
    <w:nsid w:val="32FFF902"/>
    <w:multiLevelType w:val="hybridMultilevel"/>
    <w:lvl w:ilvl="0">
      <w:lvlJc w:val="left"/>
      <w:lvlText w:val="(%1)"/>
      <w:numFmt w:val="lowerLetter"/>
      <w:start w:val="1"/>
    </w:lvl>
  </w:abstractNum>
  <w:abstractNum w:abstractNumId="5">
    <w:nsid w:val="684A481A"/>
    <w:multiLevelType w:val="hybridMultilevel"/>
    <w:lvl w:ilvl="0">
      <w:lvlJc w:val="left"/>
      <w:lvlText w:val="%1."/>
      <w:numFmt w:val="decimal"/>
      <w:start w:val="4"/>
    </w:lvl>
  </w:abstractNum>
  <w:abstractNum w:abstractNumId="6">
    <w:nsid w:val="579478FE"/>
    <w:multiLevelType w:val="hybridMultilevel"/>
    <w:lvl w:ilvl="0">
      <w:lvlJc w:val="left"/>
      <w:lvlText w:val="%1."/>
      <w:numFmt w:val="decimal"/>
      <w:start w:val="5"/>
    </w:lvl>
  </w:abstractNum>
  <w:abstractNum w:abstractNumId="7">
    <w:nsid w:val="749ABB43"/>
    <w:multiLevelType w:val="hybridMultilevel"/>
    <w:lvl w:ilvl="0">
      <w:lvlJc w:val="left"/>
      <w:lvlText w:val="%1."/>
      <w:numFmt w:val="decimal"/>
      <w:start w:val="6"/>
    </w:lvl>
  </w:abstractNum>
  <w:abstractNum w:abstractNumId="8">
    <w:nsid w:val="3DC240FB"/>
    <w:multiLevelType w:val="hybridMultilevel"/>
    <w:lvl w:ilvl="0">
      <w:lvlJc w:val="left"/>
      <w:lvlText w:val="%1."/>
      <w:numFmt w:val="decimal"/>
      <w:start w:val="7"/>
    </w:lvl>
  </w:abstractNum>
  <w:abstractNum w:abstractNumId="9">
    <w:nsid w:val="1BA026FA"/>
    <w:multiLevelType w:val="hybridMultilevel"/>
    <w:lvl w:ilvl="0">
      <w:lvlJc w:val="left"/>
      <w:lvlText w:val="(%1)"/>
      <w:numFmt w:val="lowerRoman"/>
      <w:start w:val="4"/>
    </w:lvl>
  </w:abstractNum>
  <w:abstractNum w:abstractNumId="10">
    <w:nsid w:val="79A1DEAA"/>
    <w:multiLevelType w:val="hybridMultilevel"/>
    <w:lvl w:ilvl="0">
      <w:lvlJc w:val="left"/>
      <w:lvlText w:val="(%1)"/>
      <w:numFmt w:val="lowerLetter"/>
      <w:start w:val="1"/>
    </w:lvl>
  </w:abstractNum>
  <w:abstractNum w:abstractNumId="11">
    <w:nsid w:val="75C6C33A"/>
    <w:multiLevelType w:val="hybridMultilevel"/>
    <w:lvl w:ilvl="0">
      <w:lvlJc w:val="left"/>
      <w:lvlText w:val="%1."/>
      <w:numFmt w:val="decimal"/>
      <w:start w:val="8"/>
    </w:lvl>
  </w:abstractNum>
  <w:abstractNum w:abstractNumId="12">
    <w:nsid w:val="12E685FB"/>
    <w:multiLevelType w:val="hybridMultilevel"/>
    <w:lvl w:ilvl="0">
      <w:lvlJc w:val="left"/>
      <w:lvlText w:val="%1."/>
      <w:numFmt w:val="decimal"/>
      <w:start w:val="9"/>
    </w:lvl>
  </w:abstractNum>
  <w:abstractNum w:abstractNumId="13">
    <w:nsid w:val="70C6A529"/>
    <w:multiLevelType w:val="hybridMultilevel"/>
    <w:lvl w:ilvl="0">
      <w:lvlJc w:val="left"/>
      <w:lvlText w:val="(%1)"/>
      <w:numFmt w:val="lowerLetter"/>
      <w:start w:val="1"/>
    </w:lvl>
  </w:abstractNum>
  <w:abstractNum w:abstractNumId="14">
    <w:nsid w:val="520EEDD1"/>
    <w:multiLevelType w:val="hybridMultilevel"/>
    <w:lvl w:ilvl="0">
      <w:lvlJc w:val="left"/>
      <w:lvlText w:val="●"/>
      <w:numFmt w:val="bullet"/>
      <w:start w:val="1"/>
    </w:lvl>
    <w:lvl w:ilvl="1">
      <w:lvlJc w:val="left"/>
      <w:lvlText w:val="(%2)"/>
      <w:numFmt w:val="lowerRoman"/>
      <w:start w:val="1"/>
    </w:lvl>
  </w:abstractNum>
  <w:abstractNum w:abstractNumId="15">
    <w:nsid w:val="374A3FE6"/>
    <w:multiLevelType w:val="hybridMultilevel"/>
    <w:lvl w:ilvl="0">
      <w:lvlJc w:val="left"/>
      <w:lvlText w:val="(%1)"/>
      <w:numFmt w:val="lowerLetter"/>
      <w:start w:val="1"/>
    </w:lvl>
  </w:abstractNum>
  <w:abstractNum w:abstractNumId="16">
    <w:nsid w:val="4F4EF005"/>
    <w:multiLevelType w:val="hybridMultilevel"/>
    <w:lvl w:ilvl="0">
      <w:lvlJc w:val="left"/>
      <w:lvlText w:val="(%1)"/>
      <w:numFmt w:val="lowerLetter"/>
      <w:start w:val="1"/>
    </w:lvl>
  </w:abstractNum>
  <w:abstractNum w:abstractNumId="17">
    <w:nsid w:val="23F9C13C"/>
    <w:multiLevelType w:val="hybridMultilevel"/>
    <w:lvl w:ilvl="0">
      <w:lvlJc w:val="left"/>
      <w:lvlText w:val="(%1)"/>
      <w:numFmt w:val="lowerRoman"/>
      <w:start w:val="1"/>
    </w:lvl>
  </w:abstractNum>
  <w:abstractNum w:abstractNumId="18">
    <w:nsid w:val="649BB77C"/>
    <w:multiLevelType w:val="hybridMultilevel"/>
    <w:lvl w:ilvl="0">
      <w:lvlJc w:val="left"/>
      <w:lvlText w:val="(%1)"/>
      <w:numFmt w:val="lowerRoman"/>
      <w:start w:val="3"/>
    </w:lvl>
  </w:abstractNum>
  <w:abstractNum w:abstractNumId="19">
    <w:nsid w:val="275AC794"/>
    <w:multiLevelType w:val="hybridMultilevel"/>
    <w:lvl w:ilvl="0">
      <w:lvlJc w:val="left"/>
      <w:lvlText w:val="●"/>
      <w:numFmt w:val="bullet"/>
      <w:start w:val="1"/>
    </w:lvl>
  </w:abstractNum>
  <w:abstractNum w:abstractNumId="20">
    <w:nsid w:val="39386575"/>
    <w:multiLevelType w:val="hybridMultilevel"/>
    <w:lvl w:ilvl="0">
      <w:lvlJc w:val="left"/>
      <w:lvlText w:val="(%1)"/>
      <w:numFmt w:val="lowerLetter"/>
      <w:start w:val="1"/>
    </w:lvl>
  </w:abstractNum>
  <w:abstractNum w:abstractNumId="21">
    <w:nsid w:val="1CF10FD8"/>
    <w:multiLevelType w:val="hybridMultilevel"/>
    <w:lvl w:ilvl="0">
      <w:lvlJc w:val="left"/>
      <w:lvlText w:val="(%1)"/>
      <w:numFmt w:val="lowerRoman"/>
      <w:start w:val="1"/>
    </w:lvl>
  </w:abstractNum>
  <w:abstractNum w:abstractNumId="22">
    <w:nsid w:val="180115BE"/>
    <w:multiLevelType w:val="hybridMultilevel"/>
    <w:lvl w:ilvl="0">
      <w:lvlJc w:val="left"/>
      <w:lvlText w:val="●"/>
      <w:numFmt w:val="bullet"/>
      <w:start w:val="1"/>
    </w:lvl>
  </w:abstractNum>
  <w:abstractNum w:abstractNumId="23">
    <w:nsid w:val="235BA861"/>
    <w:multiLevelType w:val="hybridMultilevel"/>
    <w:lvl w:ilvl="0">
      <w:lvlJc w:val="left"/>
      <w:lvlText w:val="●"/>
      <w:numFmt w:val="bullet"/>
      <w:start w:val="1"/>
    </w:lvl>
  </w:abstractNum>
  <w:abstractNum w:abstractNumId="24">
    <w:nsid w:val="47398C89"/>
    <w:multiLevelType w:val="hybridMultilevel"/>
    <w:lvl w:ilvl="0">
      <w:lvlJc w:val="left"/>
      <w:lvlText w:val="●"/>
      <w:numFmt w:val="bullet"/>
      <w:start w:val="1"/>
    </w:lvl>
  </w:abstractNum>
  <w:abstractNum w:abstractNumId="25">
    <w:nsid w:val="354FE9F9"/>
    <w:multiLevelType w:val="hybridMultilevel"/>
    <w:lvl w:ilvl="0">
      <w:lvlJc w:val="left"/>
      <w:lvlText w:val="●"/>
      <w:numFmt w:val="bullet"/>
      <w:start w:val="1"/>
    </w:lvl>
  </w:abstractNum>
  <w:abstractNum w:abstractNumId="26">
    <w:nsid w:val="15B5AF5C"/>
    <w:multiLevelType w:val="hybridMultilevel"/>
    <w:lvl w:ilvl="0">
      <w:lvlJc w:val="left"/>
      <w:lvlText w:val="(%1)"/>
      <w:numFmt w:val="lowerLetter"/>
      <w:start w:val="1"/>
    </w:lvl>
  </w:abstractNum>
  <w:abstractNum w:abstractNumId="27">
    <w:nsid w:val="741226BB"/>
    <w:multiLevelType w:val="hybridMultilevel"/>
    <w:lvl w:ilvl="0">
      <w:lvlJc w:val="left"/>
      <w:lvlText w:val="(%1)"/>
      <w:numFmt w:val="lowerLetter"/>
      <w:start w:val="1"/>
    </w:lvl>
  </w:abstractNum>
  <w:abstractNum w:abstractNumId="28">
    <w:nsid w:val="D34B6A8"/>
    <w:multiLevelType w:val="hybridMultilevel"/>
    <w:lvl w:ilvl="0">
      <w:lvlJc w:val="left"/>
      <w:lvlText w:val="*"/>
      <w:numFmt w:val="bullet"/>
      <w:start w:val="1"/>
    </w:lvl>
  </w:abstractNum>
  <w:abstractNum w:abstractNumId="29">
    <w:nsid w:val="10233C99"/>
    <w:multiLevelType w:val="hybridMultilevel"/>
    <w:lvl w:ilvl="0">
      <w:lvlJc w:val="left"/>
      <w:lvlText w:val="%1."/>
      <w:numFmt w:val="decimal"/>
      <w:start w:val="1"/>
    </w:lvl>
  </w:abstractNum>
  <w:abstractNum w:abstractNumId="30">
    <w:nsid w:val="3F6AB60F"/>
    <w:multiLevelType w:val="hybridMultilevel"/>
    <w:lvl w:ilvl="0">
      <w:lvlJc w:val="left"/>
      <w:lvlText w:val="(%1)"/>
      <w:numFmt w:val="decimal"/>
      <w:start w:val="1"/>
    </w:lvl>
  </w:abstractNum>
  <w:abstractNum w:abstractNumId="31">
    <w:nsid w:val="61574095"/>
    <w:multiLevelType w:val="hybridMultilevel"/>
    <w:lvl w:ilvl="0">
      <w:lvlJc w:val="left"/>
      <w:lvlText w:val="(%1)"/>
      <w:numFmt w:val="decimal"/>
      <w:start w:val="8"/>
    </w:lvl>
    <w:lvl w:ilvl="1">
      <w:lvlJc w:val="left"/>
      <w:lvlText w:val="(%2)"/>
      <w:numFmt w:val="decimal"/>
      <w:start w:val="1"/>
    </w:lvl>
  </w:abstractNum>
  <w:abstractNum w:abstractNumId="32">
    <w:nsid w:val="7E0C57B1"/>
    <w:multiLevelType w:val="hybridMultilevel"/>
    <w:lvl w:ilvl="0">
      <w:lvlJc w:val="left"/>
      <w:lvlText w:val="(%1)"/>
      <w:numFmt w:val="decimal"/>
      <w:start w:val="10"/>
    </w:lvl>
  </w:abstractNum>
  <w:abstractNum w:abstractNumId="33">
    <w:nsid w:val="77AE35EB"/>
    <w:multiLevelType w:val="hybridMultilevel"/>
    <w:lvl w:ilvl="0">
      <w:lvlJc w:val="left"/>
      <w:lvlText w:val="(%1)"/>
      <w:numFmt w:val="decimal"/>
      <w:start w:val="16"/>
    </w:lvl>
  </w:abstractNum>
  <w:abstractNum w:abstractNumId="34">
    <w:nsid w:val="579BE4F1"/>
    <w:multiLevelType w:val="hybridMultilevel"/>
    <w:lvl w:ilvl="0">
      <w:lvlJc w:val="left"/>
      <w:lvlText w:val="%1."/>
      <w:numFmt w:val="decimal"/>
      <w:start w:val="1"/>
    </w:lvl>
  </w:abstractNum>
  <w:abstractNum w:abstractNumId="35">
    <w:nsid w:val="310C50B3"/>
    <w:multiLevelType w:val="hybridMultilevel"/>
    <w:lvl w:ilvl="0">
      <w:lvlJc w:val="left"/>
      <w:lvlText w:val="%1."/>
      <w:numFmt w:val="decimal"/>
      <w:start w:val="2"/>
    </w:lvl>
  </w:abstractNum>
  <w:abstractNum w:abstractNumId="36">
    <w:nsid w:val="5FF87E05"/>
    <w:multiLevelType w:val="hybridMultilevel"/>
    <w:lvl w:ilvl="0">
      <w:lvlJc w:val="left"/>
      <w:lvlText w:val="%1."/>
      <w:numFmt w:val="decimal"/>
      <w:start w:val="3"/>
    </w:lvl>
  </w:abstractNum>
  <w:abstractNum w:abstractNumId="37">
    <w:nsid w:val="2F305DEF"/>
    <w:multiLevelType w:val="hybridMultilevel"/>
    <w:lvl w:ilvl="0">
      <w:lvlJc w:val="left"/>
      <w:lvlText w:val="%1."/>
      <w:numFmt w:val="decimal"/>
      <w:start w:val="4"/>
    </w:lvl>
  </w:abstractNum>
  <w:abstractNum w:abstractNumId="38">
    <w:nsid w:val="25A70BF7"/>
    <w:multiLevelType w:val="hybridMultilevel"/>
    <w:lvl w:ilvl="0">
      <w:lvlJc w:val="left"/>
      <w:lvlText w:val="%1."/>
      <w:numFmt w:val="decimal"/>
      <w:start w:val="5"/>
    </w:lvl>
  </w:abstractNum>
  <w:abstractNum w:abstractNumId="39">
    <w:nsid w:val="1DBABF00"/>
    <w:multiLevelType w:val="hybridMultilevel"/>
    <w:lvl w:ilvl="0">
      <w:lvlJc w:val="left"/>
      <w:lvlText w:val="(%1)"/>
      <w:numFmt w:val="decimal"/>
      <w:start w:val="1"/>
    </w:lvl>
  </w:abstractNum>
  <w:abstractNum w:abstractNumId="40">
    <w:nsid w:val="4AD084E9"/>
    <w:multiLevelType w:val="hybridMultilevel"/>
    <w:lvl w:ilvl="0">
      <w:lvlJc w:val="left"/>
      <w:lvlText w:val="%1."/>
      <w:numFmt w:val="decimal"/>
      <w:start w:val="6"/>
    </w:lvl>
  </w:abstractNum>
  <w:abstractNum w:abstractNumId="41">
    <w:nsid w:val="1F48EAA1"/>
    <w:multiLevelType w:val="hybridMultilevel"/>
    <w:lvl w:ilvl="0">
      <w:lvlJc w:val="left"/>
      <w:lvlText w:val="●"/>
      <w:numFmt w:val="bullet"/>
      <w:start w:val="1"/>
    </w:lvl>
  </w:abstractNum>
  <w:abstractNum w:abstractNumId="42">
    <w:nsid w:val="1381823A"/>
    <w:multiLevelType w:val="hybridMultilevel"/>
    <w:lvl w:ilvl="0">
      <w:lvlJc w:val="left"/>
      <w:lvlText w:val="%1."/>
      <w:numFmt w:val="decimal"/>
      <w:start w:val="7"/>
    </w:lvl>
  </w:abstractNum>
  <w:abstractNum w:abstractNumId="43">
    <w:nsid w:val="5DB70AE5"/>
    <w:multiLevelType w:val="hybridMultilevel"/>
    <w:lvl w:ilvl="0">
      <w:lvlJc w:val="left"/>
      <w:lvlText w:val="%1."/>
      <w:numFmt w:val="decimal"/>
      <w:start w:val="8"/>
    </w:lvl>
  </w:abstractNum>
  <w:abstractNum w:abstractNumId="44">
    <w:nsid w:val="100F8FCA"/>
    <w:multiLevelType w:val="hybridMultilevel"/>
    <w:lvl w:ilvl="0">
      <w:lvlJc w:val="left"/>
      <w:lvlText w:val="%1."/>
      <w:numFmt w:val="decimal"/>
      <w:start w:val="9"/>
    </w:lvl>
  </w:abstractNum>
  <w:abstractNum w:abstractNumId="45">
    <w:nsid w:val="6590700B"/>
    <w:multiLevelType w:val="hybridMultilevel"/>
    <w:lvl w:ilvl="0">
      <w:lvlJc w:val="left"/>
      <w:lvlText w:val="%1."/>
      <w:numFmt w:val="decimal"/>
      <w:start w:val="10"/>
    </w:lvl>
  </w:abstractNum>
  <w:abstractNum w:abstractNumId="46">
    <w:nsid w:val="15014ACB"/>
    <w:multiLevelType w:val="hybridMultilevel"/>
    <w:lvl w:ilvl="0">
      <w:lvlJc w:val="left"/>
      <w:lvlText w:val="%1."/>
      <w:numFmt w:val="decimal"/>
      <w:start w:val="11"/>
    </w:lvl>
  </w:abstractNum>
  <w:abstractNum w:abstractNumId="47">
    <w:nsid w:val="5F5E7FD0"/>
    <w:multiLevelType w:val="hybridMultilevel"/>
    <w:lvl w:ilvl="0">
      <w:lvlJc w:val="left"/>
      <w:lvlText w:val="%1."/>
      <w:numFmt w:val="decimal"/>
      <w:start w:val="12"/>
    </w:lvl>
  </w:abstractNum>
  <w:abstractNum w:abstractNumId="48">
    <w:nsid w:val="98A3148"/>
    <w:multiLevelType w:val="hybridMultilevel"/>
    <w:lvl w:ilvl="0">
      <w:lvlJc w:val="left"/>
      <w:lvlText w:val="%1."/>
      <w:numFmt w:val="decimal"/>
      <w:start w:val="13"/>
    </w:lvl>
  </w:abstractNum>
  <w:abstractNum w:abstractNumId="49">
    <w:nsid w:val="799D0247"/>
    <w:multiLevelType w:val="hybridMultilevel"/>
    <w:lvl w:ilvl="0">
      <w:lvlJc w:val="left"/>
      <w:lvlText w:val="%1."/>
      <w:numFmt w:val="decimal"/>
      <w:start w:val="14"/>
    </w:lvl>
  </w:abstractNum>
  <w:abstractNum w:abstractNumId="50">
    <w:nsid w:val="6B94764"/>
    <w:multiLevelType w:val="hybridMultilevel"/>
    <w:lvl w:ilvl="0">
      <w:lvlJc w:val="left"/>
      <w:lvlText w:val="%1."/>
      <w:numFmt w:val="decimal"/>
      <w:start w:val="15"/>
    </w:lvl>
  </w:abstractNum>
  <w:abstractNum w:abstractNumId="51">
    <w:nsid w:val="42C296BD"/>
    <w:multiLevelType w:val="hybridMultilevel"/>
    <w:lvl w:ilvl="0">
      <w:lvlJc w:val="left"/>
      <w:lvlText w:val="%1."/>
      <w:numFmt w:val="decimal"/>
      <w:start w:val="16"/>
    </w:lvl>
  </w:abstractNum>
  <w:abstractNum w:abstractNumId="52">
    <w:nsid w:val="168E121F"/>
    <w:multiLevelType w:val="hybridMultilevel"/>
    <w:lvl w:ilvl="0">
      <w:lvlJc w:val="left"/>
      <w:lvlText w:val="%1."/>
      <w:numFmt w:val="decimal"/>
      <w:start w:val="17"/>
    </w:lvl>
  </w:abstractNum>
  <w:abstractNum w:abstractNumId="53">
    <w:nsid w:val="1EBA5D23"/>
    <w:multiLevelType w:val="hybridMultilevel"/>
    <w:lvl w:ilvl="0">
      <w:lvlJc w:val="left"/>
      <w:lvlText w:val="%1."/>
      <w:numFmt w:val="decimal"/>
      <w:start w:val="18"/>
    </w:lvl>
  </w:abstractNum>
  <w:abstractNum w:abstractNumId="54">
    <w:nsid w:val="661E3F1E"/>
    <w:multiLevelType w:val="hybridMultilevel"/>
    <w:lvl w:ilvl="0">
      <w:lvlJc w:val="left"/>
      <w:lvlText w:val="%1."/>
      <w:numFmt w:val="decimal"/>
      <w:start w:val="19"/>
    </w:lvl>
  </w:abstractNum>
  <w:abstractNum w:abstractNumId="55">
    <w:nsid w:val="5DC79EA8"/>
    <w:multiLevelType w:val="hybridMultilevel"/>
    <w:lvl w:ilvl="0">
      <w:lvlJc w:val="left"/>
      <w:lvlText w:val="%1."/>
      <w:numFmt w:val="decimal"/>
      <w:start w:val="1"/>
    </w:lvl>
  </w:abstractNum>
  <w:abstractNum w:abstractNumId="56">
    <w:nsid w:val="540A471C"/>
    <w:multiLevelType w:val="hybridMultilevel"/>
    <w:lvl w:ilvl="0">
      <w:lvlJc w:val="left"/>
      <w:lvlText w:val="(%1)"/>
      <w:numFmt w:val="decimal"/>
      <w:start w:val="1"/>
    </w:lvl>
  </w:abstractNum>
  <w:abstractNum w:abstractNumId="57">
    <w:nsid w:val="7BD3EE7B"/>
    <w:multiLevelType w:val="hybridMultilevel"/>
    <w:lvl w:ilvl="0">
      <w:lvlJc w:val="left"/>
      <w:lvlText w:val="(%1)"/>
      <w:numFmt w:val="decimal"/>
      <w:start w:val="8"/>
    </w:lvl>
    <w:lvl w:ilvl="1">
      <w:lvlJc w:val="left"/>
      <w:lvlText w:val="(%2)"/>
      <w:numFmt w:val="decimal"/>
      <w:start w:val="1"/>
    </w:lvl>
  </w:abstractNum>
  <w:abstractNum w:abstractNumId="58">
    <w:nsid w:val="51D9C564"/>
    <w:multiLevelType w:val="hybridMultilevel"/>
    <w:lvl w:ilvl="0">
      <w:lvlJc w:val="left"/>
      <w:lvlText w:val="(%1)"/>
      <w:numFmt w:val="decimal"/>
      <w:start w:val="10"/>
    </w:lvl>
  </w:abstractNum>
  <w:abstractNum w:abstractNumId="59">
    <w:nsid w:val="613EFDC5"/>
    <w:multiLevelType w:val="hybridMultilevel"/>
    <w:lvl w:ilvl="0">
      <w:lvlJc w:val="left"/>
      <w:lvlText w:val="(%1)"/>
      <w:numFmt w:val="decimal"/>
      <w:start w:val="16"/>
    </w:lvl>
  </w:abstractNum>
  <w:abstractNum w:abstractNumId="60">
    <w:nsid w:val="BF72B14"/>
    <w:multiLevelType w:val="hybridMultilevel"/>
    <w:lvl w:ilvl="0">
      <w:lvlJc w:val="left"/>
      <w:lvlText w:val="%1."/>
      <w:numFmt w:val="decimal"/>
      <w:start w:val="1"/>
    </w:lvl>
  </w:abstractNum>
  <w:abstractNum w:abstractNumId="61">
    <w:nsid w:val="11447B73"/>
    <w:multiLevelType w:val="hybridMultilevel"/>
    <w:lvl w:ilvl="0">
      <w:lvlJc w:val="left"/>
      <w:lvlText w:val="%1."/>
      <w:numFmt w:val="decimal"/>
      <w:start w:val="2"/>
    </w:lvl>
  </w:abstractNum>
  <w:abstractNum w:abstractNumId="62">
    <w:nsid w:val="42963E5A"/>
    <w:multiLevelType w:val="hybridMultilevel"/>
    <w:lvl w:ilvl="0">
      <w:lvlJc w:val="left"/>
      <w:lvlText w:val="%1."/>
      <w:numFmt w:val="decimal"/>
      <w:start w:val="3"/>
    </w:lvl>
  </w:abstractNum>
  <w:abstractNum w:abstractNumId="63">
    <w:nsid w:val="A0382C5"/>
    <w:multiLevelType w:val="hybridMultilevel"/>
    <w:lvl w:ilvl="0">
      <w:lvlJc w:val="left"/>
      <w:lvlText w:val="%1."/>
      <w:numFmt w:val="decimal"/>
      <w:start w:val="4"/>
    </w:lvl>
  </w:abstractNum>
  <w:abstractNum w:abstractNumId="64">
    <w:nsid w:val="8F2B15E"/>
    <w:multiLevelType w:val="hybridMultilevel"/>
    <w:lvl w:ilvl="0">
      <w:lvlJc w:val="left"/>
      <w:lvlText w:val="%1."/>
      <w:numFmt w:val="decimal"/>
      <w:start w:val="5"/>
    </w:lvl>
  </w:abstractNum>
  <w:abstractNum w:abstractNumId="65">
    <w:nsid w:val="1A32234B"/>
    <w:multiLevelType w:val="hybridMultilevel"/>
    <w:lvl w:ilvl="0">
      <w:lvlJc w:val="left"/>
      <w:lvlText w:val="(%1)"/>
      <w:numFmt w:val="decimal"/>
      <w:start w:val="1"/>
    </w:lvl>
  </w:abstractNum>
  <w:abstractNum w:abstractNumId="66">
    <w:nsid w:val="3B0FD379"/>
    <w:multiLevelType w:val="hybridMultilevel"/>
    <w:lvl w:ilvl="0">
      <w:lvlJc w:val="left"/>
      <w:lvlText w:val="%1."/>
      <w:numFmt w:val="decimal"/>
      <w:start w:val="6"/>
    </w:lvl>
  </w:abstractNum>
  <w:abstractNum w:abstractNumId="67">
    <w:nsid w:val="68EB2F63"/>
    <w:multiLevelType w:val="hybridMultilevel"/>
    <w:lvl w:ilvl="0">
      <w:lvlJc w:val="left"/>
      <w:lvlText w:val="●"/>
      <w:numFmt w:val="bullet"/>
      <w:start w:val="1"/>
    </w:lvl>
  </w:abstractNum>
  <w:abstractNum w:abstractNumId="68">
    <w:nsid w:val="4962813B"/>
    <w:multiLevelType w:val="hybridMultilevel"/>
    <w:lvl w:ilvl="0">
      <w:lvlJc w:val="left"/>
      <w:lvlText w:val="%1."/>
      <w:numFmt w:val="decimal"/>
      <w:start w:val="7"/>
    </w:lvl>
  </w:abstractNum>
  <w:abstractNum w:abstractNumId="69">
    <w:nsid w:val="60B6DF70"/>
    <w:multiLevelType w:val="hybridMultilevel"/>
    <w:lvl w:ilvl="0">
      <w:lvlJc w:val="left"/>
      <w:lvlText w:val="%1."/>
      <w:numFmt w:val="decimal"/>
      <w:start w:val="8"/>
    </w:lvl>
  </w:abstractNum>
  <w:abstractNum w:abstractNumId="70">
    <w:nsid w:val="6A5EE64"/>
    <w:multiLevelType w:val="hybridMultilevel"/>
    <w:lvl w:ilvl="0">
      <w:lvlJc w:val="left"/>
      <w:lvlText w:val="%1."/>
      <w:numFmt w:val="decimal"/>
      <w:start w:val="9"/>
    </w:lvl>
  </w:abstractNum>
  <w:abstractNum w:abstractNumId="71">
    <w:nsid w:val="14330624"/>
    <w:multiLevelType w:val="hybridMultilevel"/>
    <w:lvl w:ilvl="0">
      <w:lvlJc w:val="left"/>
      <w:lvlText w:val="%1."/>
      <w:numFmt w:val="decimal"/>
      <w:start w:val="10"/>
    </w:lvl>
  </w:abstractNum>
  <w:abstractNum w:abstractNumId="72">
    <w:nsid w:val="7FFFCA11"/>
    <w:multiLevelType w:val="hybridMultilevel"/>
    <w:lvl w:ilvl="0">
      <w:lvlJc w:val="left"/>
      <w:lvlText w:val="%1."/>
      <w:numFmt w:val="decimal"/>
      <w:start w:val="11"/>
    </w:lvl>
  </w:abstractNum>
  <w:abstractNum w:abstractNumId="73">
    <w:nsid w:val="1A27709E"/>
    <w:multiLevelType w:val="hybridMultilevel"/>
    <w:lvl w:ilvl="0">
      <w:lvlJc w:val="left"/>
      <w:lvlText w:val="%1."/>
      <w:numFmt w:val="decimal"/>
      <w:start w:val="12"/>
    </w:lvl>
  </w:abstractNum>
  <w:abstractNum w:abstractNumId="74">
    <w:nsid w:val="71EA1109"/>
    <w:multiLevelType w:val="hybridMultilevel"/>
    <w:lvl w:ilvl="0">
      <w:lvlJc w:val="left"/>
      <w:lvlText w:val="%1."/>
      <w:numFmt w:val="decimal"/>
      <w:start w:val="13"/>
    </w:lvl>
  </w:abstractNum>
  <w:abstractNum w:abstractNumId="75">
    <w:nsid w:val="100F59DC"/>
    <w:multiLevelType w:val="hybridMultilevel"/>
    <w:lvl w:ilvl="0">
      <w:lvlJc w:val="left"/>
      <w:lvlText w:val="%1."/>
      <w:numFmt w:val="decimal"/>
      <w:start w:val="14"/>
    </w:lvl>
  </w:abstractNum>
  <w:abstractNum w:abstractNumId="76">
    <w:nsid w:val="7FB7E0AA"/>
    <w:multiLevelType w:val="hybridMultilevel"/>
    <w:lvl w:ilvl="0">
      <w:lvlJc w:val="left"/>
      <w:lvlText w:val="%1."/>
      <w:numFmt w:val="decimal"/>
      <w:start w:val="15"/>
    </w:lvl>
  </w:abstractNum>
  <w:abstractNum w:abstractNumId="77">
    <w:nsid w:val="6EB5BD4"/>
    <w:multiLevelType w:val="hybridMultilevel"/>
    <w:lvl w:ilvl="0">
      <w:lvlJc w:val="left"/>
      <w:lvlText w:val="%1."/>
      <w:numFmt w:val="decimal"/>
      <w:start w:val="16"/>
    </w:lvl>
  </w:abstractNum>
  <w:abstractNum w:abstractNumId="78">
    <w:nsid w:val="6F6DD9AC"/>
    <w:multiLevelType w:val="hybridMultilevel"/>
    <w:lvl w:ilvl="0">
      <w:lvlJc w:val="left"/>
      <w:lvlText w:val="%1."/>
      <w:numFmt w:val="decimal"/>
      <w:start w:val="17"/>
    </w:lvl>
  </w:abstractNum>
  <w:abstractNum w:abstractNumId="79">
    <w:nsid w:val="94211F2"/>
    <w:multiLevelType w:val="hybridMultilevel"/>
    <w:lvl w:ilvl="0">
      <w:lvlJc w:val="left"/>
      <w:lvlText w:val="%1."/>
      <w:numFmt w:val="decimal"/>
      <w:start w:val="18"/>
    </w:lvl>
  </w:abstractNum>
  <w:abstractNum w:abstractNumId="80">
    <w:nsid w:val="885E1B"/>
    <w:multiLevelType w:val="hybridMultilevel"/>
    <w:lvl w:ilvl="0">
      <w:lvlJc w:val="left"/>
      <w:lvlText w:val="%1."/>
      <w:numFmt w:val="decimal"/>
      <w:start w:val="19"/>
    </w:lvl>
  </w:abstractNum>
  <w:abstractNum w:abstractNumId="81">
    <w:nsid w:val="76272110"/>
    <w:multiLevelType w:val="hybridMultilevel"/>
    <w:lvl w:ilvl="0">
      <w:lvlJc w:val="left"/>
      <w:lvlText w:val="(%1)"/>
      <w:numFmt w:val="lowerLetter"/>
      <w:start w:val="1"/>
    </w:lvl>
  </w:abstractNum>
  <w:abstractNum w:abstractNumId="82">
    <w:nsid w:val="4C04A8AF"/>
    <w:multiLevelType w:val="hybridMultilevel"/>
    <w:lvl w:ilvl="0">
      <w:lvlJc w:val="left"/>
      <w:lvlText w:val="(%1)"/>
      <w:numFmt w:val="lowerRoman"/>
      <w:start w:val="1"/>
    </w:lvl>
  </w:abstractNum>
  <w:abstractNum w:abstractNumId="83">
    <w:nsid w:val="1716703B"/>
    <w:multiLevelType w:val="hybridMultilevel"/>
    <w:lvl w:ilvl="0">
      <w:lvlJc w:val="left"/>
      <w:lvlText w:val="(%1)"/>
      <w:numFmt w:val="lowerRoman"/>
      <w:start w:val="4"/>
    </w:lvl>
  </w:abstractNum>
  <w:abstractNum w:abstractNumId="84">
    <w:nsid w:val="14E17E33"/>
    <w:multiLevelType w:val="hybridMultilevel"/>
    <w:lvl w:ilvl="0">
      <w:lvlJc w:val="left"/>
      <w:lvlText w:val="(%1)"/>
      <w:numFmt w:val="lowerLetter"/>
      <w:start w:val="1"/>
    </w:lvl>
  </w:abstractNum>
  <w:abstractNum w:abstractNumId="85">
    <w:nsid w:val="3222E7CD"/>
    <w:multiLevelType w:val="hybridMultilevel"/>
    <w:lvl w:ilvl="0">
      <w:lvlJc w:val="left"/>
      <w:lvlText w:val="(%1)"/>
      <w:numFmt w:val="lowerLetter"/>
      <w:start w:val="1"/>
    </w:lvl>
  </w:abstractNum>
  <w:abstractNum w:abstractNumId="86">
    <w:nsid w:val="74DE0EE3"/>
    <w:multiLevelType w:val="hybridMultilevel"/>
    <w:lvl w:ilvl="0">
      <w:lvlJc w:val="left"/>
      <w:lvlText w:val="(%1)"/>
      <w:numFmt w:val="lowerRoman"/>
      <w:start w:val="1"/>
    </w:lvl>
  </w:abstractNum>
  <w:abstractNum w:abstractNumId="87">
    <w:nsid w:val="68EBC550"/>
    <w:multiLevelType w:val="hybridMultilevel"/>
    <w:lvl w:ilvl="0">
      <w:lvlJc w:val="left"/>
      <w:lvlText w:val="(%1)"/>
      <w:numFmt w:val="lowerLetter"/>
      <w:start w:val="1"/>
    </w:lvl>
  </w:abstractNum>
  <w:abstractNum w:abstractNumId="88">
    <w:nsid w:val="2DF6D648"/>
    <w:multiLevelType w:val="hybridMultilevel"/>
    <w:lvl w:ilvl="0">
      <w:lvlJc w:val="left"/>
      <w:lvlText w:val="%1."/>
      <w:numFmt w:val="decimal"/>
      <w:start w:val="1"/>
    </w:lvl>
    <w:lvl w:ilvl="1">
      <w:lvlJc w:val="left"/>
      <w:lvlText w:val="(%2)"/>
      <w:numFmt w:val="lowerLetter"/>
      <w:start w:val="1"/>
    </w:lvl>
  </w:abstractNum>
  <w:abstractNum w:abstractNumId="89">
    <w:nsid w:val="46B7D447"/>
    <w:multiLevelType w:val="hybridMultilevel"/>
    <w:lvl w:ilvl="0">
      <w:lvlJc w:val="left"/>
      <w:lvlText w:val="%1."/>
      <w:numFmt w:val="decimal"/>
      <w:start w:val="1"/>
    </w:lvl>
    <w:lvl w:ilvl="1">
      <w:lvlJc w:val="left"/>
      <w:lvlText w:val="(%2)"/>
      <w:numFmt w:val="lowerLetter"/>
      <w:start w:val="1"/>
    </w:lvl>
  </w:abstractNum>
  <w:abstractNum w:abstractNumId="90">
    <w:nsid w:val="4A2AC315"/>
    <w:multiLevelType w:val="hybridMultilevel"/>
    <w:lvl w:ilvl="0">
      <w:lvlJc w:val="left"/>
      <w:lvlText w:val="(%1)"/>
      <w:numFmt w:val="decimal"/>
      <w:start w:val="1"/>
    </w:lvl>
  </w:abstractNum>
  <w:abstractNum w:abstractNumId="91">
    <w:nsid w:val="39EE01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54" Type="http://schemas.openxmlformats.org/officeDocument/2006/relationships/hyperlink" Target="https://www.sec.gov/Archives/edgar/data/823768/000110465924068691/tm2416276d2_ex2-1.htm" TargetMode="External"/><Relationship Id="rId55" Type="http://schemas.openxmlformats.org/officeDocument/2006/relationships/hyperlink" Target="https://www.sec.gov/Archives/edgar/data/823768/000110465924063047/tm2412128d3_ex3-2.htm" TargetMode="External"/><Relationship Id="rId56" Type="http://schemas.openxmlformats.org/officeDocument/2006/relationships/hyperlink" Target="https://www.sec.gov/Archives/edgar/data/823768/000110465924059949/tm2412128d2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2024-07-25T13:36:29Z</dcterms:created>
  <dcterms:modified xsi:type="dcterms:W3CDTF">2024-07-25T13:36:29Z</dcterms:modified>
</cp:coreProperties>
</file>