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023d1_8k.htm"/>
      <w:bookmarkStart w:id="1" w:name="kstm2624023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B_edei--DocumentType_c202608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C_edei--EntityRegistrantName_dxL_c"/>
      <w:bookmarkEnd w:id="4"/>
      <w:r>
        <w:rPr>
          <w:rFonts w:ascii="Times New Roman;Times;Serif" w:hAnsi="Times New Roman;Times;Serif"/>
          <w:b/>
          <w:i w:val="false"/>
          <w:caps w:val="false"/>
          <w:smallCaps w:val="false"/>
          <w:sz w:val="48"/>
        </w:rPr>
        <w:t>Waste Management,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0" w:type="dxa"/>
          <w:right w:w="0" w:type="dxa"/>
        </w:tblCellMar>
      </w:tblPr>
      <w:tblGrid>
        <w:gridCol w:w="2225"/>
        <w:gridCol w:w="60"/>
        <w:gridCol w:w="2210"/>
        <w:gridCol w:w="60"/>
        <w:gridCol w:w="1520"/>
      </w:tblGrid>
      <w:tr>
        <w:trPr/>
        <w:tc>
          <w:tcPr>
            <w:tcW w:w="2225" w:type="dxa"/>
            <w:tcBorders/>
            <w:vAlign w:val="center"/>
          </w:tcPr>
          <w:p>
            <w:pPr>
              <w:pStyle w:val="TableContents"/>
              <w:bidi w:val="0"/>
              <w:spacing w:before="0" w:after="283"/>
              <w:jc w:val="center"/>
              <w:rPr>
                <w:b/>
              </w:rPr>
            </w:pPr>
            <w:bookmarkStart w:id="5" w:name="xdx_909_edei--EntityIncorporationStateCo"/>
            <w:bookmarkEnd w:id="5"/>
            <w:r>
              <w:rPr>
                <w:b/>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824"/>
            <w:bookmarkEnd w:id="6"/>
            <w:r>
              <w:rPr>
                <w:rFonts w:ascii="Times New Roman;Times;Serif" w:hAnsi="Times New Roman;Times;Serif"/>
                <w:b/>
                <w:sz w:val="20"/>
              </w:rPr>
              <w:t>1-12154</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sz w:val="20"/>
              </w:rPr>
            </w:pPr>
            <w:bookmarkStart w:id="7" w:name="xdx_909_edei--EntityTaxIdentificationNum"/>
            <w:bookmarkEnd w:id="7"/>
            <w:r>
              <w:rPr>
                <w:rFonts w:ascii="Times New Roman;Times;Serif" w:hAnsi="Times New Roman;Times;Serif"/>
                <w:b/>
                <w:sz w:val="20"/>
              </w:rPr>
              <w:t>73-1309529</w:t>
            </w:r>
          </w:p>
        </w:tc>
      </w:tr>
      <w:tr>
        <w:trPr/>
        <w:tc>
          <w:tcPr>
            <w:tcW w:w="22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w:t>
              <w:br/>
              <w:t>of 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3920"/>
        <w:gridCol w:w="60"/>
        <w:gridCol w:w="905"/>
      </w:tblGrid>
      <w:tr>
        <w:trPr/>
        <w:tc>
          <w:tcPr>
            <w:tcW w:w="3920" w:type="dxa"/>
            <w:tcBorders/>
            <w:vAlign w:val="center"/>
          </w:tcPr>
          <w:p>
            <w:pPr>
              <w:pStyle w:val="TableContents"/>
              <w:bidi w:val="0"/>
              <w:spacing w:before="0" w:after="283"/>
              <w:jc w:val="center"/>
              <w:rPr/>
            </w:pPr>
            <w:bookmarkStart w:id="8" w:name="xdx_90E_edei--EntityAddressAddressLine1_"/>
            <w:bookmarkEnd w:id="8"/>
            <w:r>
              <w:rPr>
                <w:rFonts w:ascii="Times New Roman;Times;Serif" w:hAnsi="Times New Roman;Times;Serif"/>
                <w:b/>
                <w:sz w:val="20"/>
              </w:rPr>
              <w:t xml:space="preserve">800 Capitol Street, </w:t>
            </w:r>
            <w:bookmarkStart w:id="9" w:name="xdx_909_edei--EntityAddressAddressLine2_"/>
            <w:bookmarkEnd w:id="9"/>
            <w:r>
              <w:rPr>
                <w:rFonts w:ascii="Times New Roman;Times;Serif" w:hAnsi="Times New Roman;Times;Serif"/>
                <w:b/>
                <w:sz w:val="20"/>
              </w:rPr>
              <w:t xml:space="preserve">Suite 3000, </w:t>
            </w:r>
            <w:bookmarkStart w:id="10" w:name="xdx_901_edei--EntityAddressCityOrTown_c2"/>
            <w:bookmarkEnd w:id="10"/>
            <w:r>
              <w:rPr>
                <w:rFonts w:ascii="Times New Roman;Times;Serif" w:hAnsi="Times New Roman;Times;Serif"/>
                <w:b/>
                <w:sz w:val="20"/>
              </w:rPr>
              <w:t xml:space="preserve">Houston, </w:t>
            </w:r>
            <w:bookmarkStart w:id="11" w:name="xdx_90F_edei--EntityAddressStateOrProvin"/>
            <w:bookmarkEnd w:id="11"/>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2" w:name="xdx_900_edei--EntityAddressPostalZipCode"/>
            <w:bookmarkEnd w:id="12"/>
            <w:r>
              <w:rPr>
                <w:rFonts w:ascii="Times New Roman;Times;Serif" w:hAnsi="Times New Roman;Times;Serif"/>
                <w:b/>
                <w:sz w:val="20"/>
              </w:rPr>
              <w:t>77002</w:t>
            </w:r>
          </w:p>
        </w:tc>
      </w:tr>
      <w:tr>
        <w:trPr/>
        <w:tc>
          <w:tcPr>
            <w:tcW w:w="3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9_edei--CityAreaCode_c20260824__20"/>
      <w:bookmarkEnd w:id="13"/>
      <w:r>
        <w:rPr>
          <w:rFonts w:ascii="Times New Roman;Times;Serif" w:hAnsi="Times New Roman;Times;Serif"/>
          <w:b/>
          <w:i w:val="false"/>
          <w:caps w:val="false"/>
          <w:smallCaps w:val="false"/>
          <w:sz w:val="20"/>
        </w:rPr>
        <w:t xml:space="preserve">713) </w:t>
      </w:r>
      <w:bookmarkStart w:id="14" w:name="xdx_900_edei--LocalPhoneNumber_c20260824"/>
      <w:bookmarkEnd w:id="14"/>
      <w:r>
        <w:rPr>
          <w:rFonts w:ascii="Times New Roman;Times;Serif" w:hAnsi="Times New Roman;Times;Serif"/>
          <w:b/>
          <w:i w:val="false"/>
          <w:caps w:val="false"/>
          <w:smallCaps w:val="false"/>
          <w:sz w:val="20"/>
        </w:rPr>
        <w:t>512-6200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D_edei--SolicitingMaterial_c202608"/>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0" w:type="dxa"/>
          <w:bottom w:w="0" w:type="dxa"/>
          <w:right w:w="0" w:type="dxa"/>
        </w:tblCellMar>
      </w:tblPr>
      <w:tblGrid>
        <w:gridCol w:w="2630"/>
        <w:gridCol w:w="1535"/>
        <w:gridCol w:w="3575"/>
      </w:tblGrid>
      <w:tr>
        <w:trPr/>
        <w:tc>
          <w:tcPr>
            <w:tcW w:w="2630"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3575" w:type="dxa"/>
            <w:tcBorders>
              <w:top w:val="single" w:sz="8" w:space="0" w:color="000000"/>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19" w:name="xdx_901_edei--Security12bTitle_c20260824"/>
            <w:bookmarkEnd w:id="19"/>
            <w:r>
              <w:rPr>
                <w:rFonts w:ascii="Times New Roman;Times;Serif" w:hAnsi="Times New Roman;Times;Serif"/>
                <w:sz w:val="20"/>
              </w:rPr>
              <w:t>Common Stock, $0.01 par value</w:t>
            </w:r>
          </w:p>
        </w:tc>
        <w:tc>
          <w:tcPr>
            <w:tcW w:w="1535" w:type="dxa"/>
            <w:tcBorders>
              <w:left w:val="single" w:sz="8" w:space="0" w:color="000000"/>
              <w:bottom w:val="single" w:sz="8" w:space="0" w:color="000000"/>
            </w:tcBorders>
            <w:tcMar>
              <w:top w:w="0" w:type="dxa"/>
              <w:left w:w="120" w:type="dxa"/>
              <w:bottom w:w="28" w:type="dxa"/>
            </w:tcMar>
            <w:vAlign w:val="center"/>
          </w:tcPr>
          <w:p>
            <w:pPr>
              <w:pStyle w:val="TableContents"/>
              <w:bidi w:val="0"/>
              <w:spacing w:before="0" w:after="283"/>
              <w:jc w:val="left"/>
              <w:rPr>
                <w:rFonts w:ascii="Times New Roman;Times;Serif" w:hAnsi="Times New Roman;Times;Serif"/>
                <w:sz w:val="20"/>
              </w:rPr>
            </w:pPr>
            <w:bookmarkStart w:id="20" w:name="xdx_903_edei--TradingSymbol_c20260824__2"/>
            <w:bookmarkEnd w:id="20"/>
            <w:r>
              <w:rPr>
                <w:rFonts w:ascii="Times New Roman;Times;Serif" w:hAnsi="Times New Roman;Times;Serif"/>
                <w:sz w:val="20"/>
              </w:rPr>
              <w:t>WM</w:t>
            </w:r>
          </w:p>
        </w:tc>
        <w:tc>
          <w:tcPr>
            <w:tcW w:w="3575" w:type="dxa"/>
            <w:tcBorders>
              <w:left w:val="single" w:sz="8" w:space="0" w:color="000000"/>
              <w:bottom w:val="single" w:sz="8" w:space="0" w:color="000000"/>
              <w:right w:val="single" w:sz="8" w:space="0" w:color="000000"/>
            </w:tcBorders>
            <w:tcMar>
              <w:top w:w="0" w:type="dxa"/>
              <w:left w:w="120" w:type="dxa"/>
              <w:bottom w:w="28" w:type="dxa"/>
              <w:right w:w="28" w:type="dxa"/>
            </w:tcMar>
            <w:vAlign w:val="center"/>
          </w:tcPr>
          <w:p>
            <w:pPr>
              <w:pStyle w:val="TableContents"/>
              <w:bidi w:val="0"/>
              <w:spacing w:before="0" w:after="283"/>
              <w:jc w:val="left"/>
              <w:rPr>
                <w:rFonts w:ascii="Times New Roman;Times;Serif" w:hAnsi="Times New Roman;Times;Serif"/>
                <w:sz w:val="20"/>
              </w:rPr>
            </w:pPr>
            <w:bookmarkStart w:id="21" w:name="xdx_90A_edei--SecurityExchangeName_c2026"/>
            <w:bookmarkEnd w:id="21"/>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sz w:val="20"/>
        </w:rPr>
        <w:t xml:space="preserve">Emerging growth company </w:t>
      </w:r>
      <w:bookmarkStart w:id="22" w:name="xdx_907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2026, James C. Fish, Jr. notified the Board of Directors (the “Board”) of Waste Management, Inc. (the “Company”) of his intention to retire from his position as Chief Executive Officer (“CEO”) and resign from the Board, effective January 4, 2027 (the “Transition Date”), following more than a decade of distinguished service in those roles and more than 25 years with the Company</w:t>
      </w:r>
      <w:r>
        <w:rPr>
          <w:rFonts w:ascii="Times New Roman;Times;Serif" w:hAnsi="Times New Roman;Times;Serif"/>
          <w:b w:val="false"/>
          <w:i w:val="false"/>
          <w:caps w:val="false"/>
          <w:smallCaps w:val="false"/>
          <w:sz w:val="20"/>
          <w:shd w:fill="FFFFFF" w:val="clear"/>
        </w:rPr>
        <w:t>. The Company anticipates that Mr. Fish will continue to serve in an advisory role until mid-February 2027.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continuation of the Company’s succession planning process, on August 24, 2026, the Board appointed the Company’s President, John J. Morris, Jr., to succeed Mr. Fish as President and CEO and elected him to serve as a member of the Board, effective as of the Transition Date. Mr. Morris’s term as a director will expire at the Company’s 2027 annual meeting of stockholders. Mr. Morris, age 57, has served as the Company’s President since May 2025. He previously served as President and Chief Operating Officer from May 2025 to May 2026, and he served as Executive Vice President and Chief Operating Officer from January 2019 to May 2025. Information about Mr. Morris’s interest in transactions required to be disclosed pursuant to Item 404(a) of Regulation S-K is set forth under the heading “Related Party Transactions” in the Company’s definitive proxy statement on Schedule 14A filed with the Securities and Exchange Commission on March 31, 2026, and is incorporated herein by reference. Mr. Morris was not appointed as CEO or elected as a member of the Board pursuant to any arrangement or understanding between him and any other person, and Mr. Morris does not have a family relationship with any director or executive officer of the Company.</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shd w:fill="FFFFFF" w:val="clear"/>
        <w:tblLayout w:type="fixed"/>
        <w:tblCellMar>
          <w:top w:w="0" w:type="dxa"/>
          <w:left w:w="0" w:type="dxa"/>
          <w:bottom w:w="0" w:type="dxa"/>
          <w:right w:w="0" w:type="dxa"/>
        </w:tblCellMar>
      </w:tblPr>
      <w:tblGrid>
        <w:gridCol w:w="38"/>
        <w:gridCol w:w="965"/>
        <w:gridCol w:w="27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65" w:type="dxa"/>
            <w:tcBorders/>
            <w:shd w:fill="FFFFFF" w:val="clear"/>
            <w:vAlign w:val="center"/>
          </w:tcPr>
          <w:p>
            <w:pPr>
              <w:pStyle w:val="TableContents"/>
              <w:bidi w:val="0"/>
              <w:spacing w:before="0" w:after="283"/>
              <w:jc w:val="left"/>
              <w:rPr>
                <w:b/>
                <w:shd w:fill="FFFFFF" w:val="clear"/>
              </w:rPr>
            </w:pPr>
            <w:r>
              <w:rPr>
                <w:b/>
                <w:shd w:fill="FFFFFF" w:val="clear"/>
              </w:rPr>
              <w:t>Item 7.01</w:t>
            </w:r>
          </w:p>
        </w:tc>
        <w:tc>
          <w:tcPr>
            <w:tcW w:w="2705" w:type="dxa"/>
            <w:tcBorders/>
            <w:shd w:fill="FFFFFF" w:val="clear"/>
            <w:vAlign w:val="center"/>
          </w:tcPr>
          <w:p>
            <w:pPr>
              <w:pStyle w:val="TableContents"/>
              <w:bidi w:val="0"/>
              <w:spacing w:before="0" w:after="283"/>
              <w:jc w:val="both"/>
              <w:rPr>
                <w:b/>
                <w:shd w:fill="FFFFFF" w:val="clear"/>
              </w:rPr>
            </w:pPr>
            <w:r>
              <w:rPr>
                <w:b/>
                <w:shd w:fill="FFFFFF" w:val="clear"/>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foregoing executive transition is furnished as Exhibit 99.1 to this report.</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28" w:type="dxa"/>
          <w:right w:w="0" w:type="dxa"/>
        </w:tblCellMar>
      </w:tblPr>
      <w:tblGrid>
        <w:gridCol w:w="1700"/>
        <w:gridCol w:w="60"/>
        <w:gridCol w:w="7625"/>
      </w:tblGrid>
      <w:tr>
        <w:trPr/>
        <w:tc>
          <w:tcPr>
            <w:tcW w:w="1700" w:type="dxa"/>
            <w:tcBorders>
              <w:bottom w:val="single" w:sz="8" w:space="0" w:color="000000"/>
            </w:tcBorders>
            <w:vAlign w:val="center"/>
          </w:tcPr>
          <w:p>
            <w:pPr>
              <w:pStyle w:val="TableContents"/>
              <w:bidi w:val="0"/>
              <w:spacing w:before="0" w:after="283"/>
              <w:jc w:val="left"/>
              <w:rPr/>
            </w:pPr>
            <w:r>
              <w:rPr>
                <w:b/>
              </w:rPr>
              <w:t>Exhibit</w:t>
            </w:r>
            <w:r>
              <w:rPr/>
              <w:t xml:space="preserve"> </w:t>
            </w:r>
            <w:r>
              <w:rPr>
                <w:b/>
              </w:rPr>
              <w:t>Number</w:t>
            </w:r>
          </w:p>
        </w:tc>
        <w:tc>
          <w:tcPr>
            <w:tcW w:w="60" w:type="dxa"/>
            <w:tcBorders/>
            <w:tcMar>
              <w:bottom w:w="0" w:type="dxa"/>
            </w:tcMar>
            <w:vAlign w:val="center"/>
          </w:tcPr>
          <w:p>
            <w:pPr>
              <w:pStyle w:val="TableContents"/>
              <w:bidi w:val="0"/>
              <w:spacing w:before="0" w:after="283"/>
              <w:jc w:val="both"/>
              <w:rPr/>
            </w:pPr>
            <w:r>
              <w:rPr/>
              <w:t> </w:t>
            </w:r>
          </w:p>
        </w:tc>
        <w:tc>
          <w:tcPr>
            <w:tcW w:w="762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170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both"/>
              <w:rPr/>
            </w:pPr>
            <w:r>
              <w:rPr/>
              <w:t> </w:t>
            </w:r>
          </w:p>
        </w:tc>
      </w:tr>
      <w:tr>
        <w:trPr/>
        <w:tc>
          <w:tcPr>
            <w:tcW w:w="1700" w:type="dxa"/>
            <w:tcBorders/>
            <w:tcMar>
              <w:bottom w:w="0" w:type="dxa"/>
            </w:tcMar>
            <w:vAlign w:val="center"/>
          </w:tcPr>
          <w:p>
            <w:pPr>
              <w:pStyle w:val="TableContents"/>
              <w:bidi w:val="0"/>
              <w:spacing w:before="0" w:after="283"/>
              <w:jc w:val="left"/>
              <w:rPr/>
            </w:pPr>
            <w:hyperlink w:anchor="tm2624023d1_ex99-1.htm">
              <w:r>
                <w:rPr>
                  <w:rStyle w:val="InternetLink"/>
                </w:rPr>
                <w:t xml:space="preserve">99.1 </w:t>
              </w:r>
            </w:hyperlink>
          </w:p>
        </w:tc>
        <w:tc>
          <w:tcPr>
            <w:tcW w:w="60" w:type="dxa"/>
            <w:tcBorders/>
            <w:tcMar>
              <w:bottom w:w="0" w:type="dxa"/>
            </w:tcMar>
            <w:vAlign w:val="center"/>
          </w:tcPr>
          <w:p>
            <w:pPr>
              <w:pStyle w:val="TableContents"/>
              <w:bidi w:val="0"/>
              <w:spacing w:before="0" w:after="283"/>
              <w:jc w:val="both"/>
              <w:rPr/>
            </w:pPr>
            <w:r>
              <w:rPr/>
              <w:t> </w:t>
            </w:r>
          </w:p>
        </w:tc>
        <w:tc>
          <w:tcPr>
            <w:tcW w:w="7625" w:type="dxa"/>
            <w:tcBorders/>
            <w:tcMar>
              <w:bottom w:w="0" w:type="dxa"/>
            </w:tcMar>
            <w:vAlign w:val="center"/>
          </w:tcPr>
          <w:p>
            <w:pPr>
              <w:pStyle w:val="TableContents"/>
              <w:bidi w:val="0"/>
              <w:spacing w:before="0" w:after="283"/>
              <w:jc w:val="left"/>
              <w:rPr/>
            </w:pPr>
            <w:hyperlink w:anchor="tm2624023d1_ex99-1.htm">
              <w:r>
                <w:rPr>
                  <w:rStyle w:val="InternetLink"/>
                </w:rPr>
                <w:t>Press Release dated August 26, 2026.</w:t>
              </w:r>
            </w:hyperlink>
          </w:p>
        </w:tc>
      </w:tr>
      <w:tr>
        <w:trPr/>
        <w:tc>
          <w:tcPr>
            <w:tcW w:w="17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865"/>
        <w:gridCol w:w="290"/>
        <w:gridCol w:w="402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31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31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tc>
        <w:tc>
          <w:tcPr>
            <w:tcW w:w="29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and 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4023d1_ex99-1.htm"/>
      <w:bookmarkStart w:id="24" w:name="kstm2624023d1_ex991"/>
      <w:bookmarkEnd w:id="23"/>
      <w:bookmarkEnd w:id="24"/>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Jim Fish to Retire from 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John Morris Named as Next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Houston</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August 26, 2026 </w:t>
      </w:r>
      <w:r>
        <w:rPr>
          <w:rFonts w:ascii="Times New Roman;Times;Serif" w:hAnsi="Times New Roman;Times;Serif"/>
          <w:b w:val="false"/>
          <w:i w:val="false"/>
          <w:caps w:val="false"/>
          <w:smallCaps w:val="false"/>
          <w:sz w:val="20"/>
        </w:rPr>
        <w:t>— WM (NYSE: WM) announced that Jim Fish, Chief Executive Officer and a member of the Board of Directors, has advised the Board of his plan to retire from WM and resign from the Board, following more than a decade of distinguished service in those roles and more than 25 years with the company. In continuation of WM’s robust succession planning process, the Board of Directors has appointed WM President John Morris to the position of President and Chief Executive Officer, effective Jan. 4, 2027. Morris will also join the Board of Directors at that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is an exceptional leader with a proven track record of delivering results and advancing WM’s strategy. Over three decades of industry experience have given him a deep understanding of our business, culture and opportunities,” said Kathleen Mazzarella, Chair of WM’s Board of Directors. “He’s overseen innovative service delivery to enhance customer experience while reducing operating expenses. All of this was accomplished while improving employee satisfaction, safety, and retention. The Board and I are confident John is the right leader, at the right time, and we are excited to have him guide WM’s next chapter of innovation, growth and value creation.”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also want to thank Jim for his outstanding leadership as CEO since 2016. Under his guidance, WM has achieved unprecedented growth, strengthened its culture and positioned the company for long-term success. Jim’s philosophy on stakeholder priorities is simple: Jim always puts people first, knowing that they, in turn, will take care of the customer and the business.  As a result, Jim’s legacy includes making WM a great place to work," added Mazzarella. “His vision and commitment to excellence have left a lasting impact on WM and all our stakeholders, and he will be missed.”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an honor to step into the role of CEO and lead a company that plays such an essential role in the daily lives of the communities we serve. For decades, WM has been built on a strong foundation of safety, service, and operational excellence. I am committed to building on that legacy while strengthening our position for innovation and continued long-term growth. Our people remain at the center of everything we do, and together we will continue advancing solutions that help customers, communities and businesses thrive,” said John Morris, President of WM. “With our industry-leading infrastructure, deep expertise and continued investments in technology, WM is well positioned to create long-term value, advance circularity and help shape a more sustainable future. I’m grateful for the trust Jim and the Board of Directors have placed in me and I am excited about what lies ahead. I am confident that our best days are still in front of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 grateful for the opportunity to have served as WM’s CEO over the past decade and proud of all our team has accomplished together,” said Jim Fish, Chief Executive Officer of WM. “John is an authentic and remarkable leader whose industry expertise and proven track record of delivering results make him the ideal choice to lead WM into the future. Throughout his career, he has been a champion for our people, safety, innovation and operational excellence. I have every confidence that WM’s success will continue and grow with John at the helm.”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current role as President, Morris held several positions at WM including Market Area General Manager of New York City, Area Vice President of the Greater Mid-Atlantic Area, Chief Strategy Officer, Senior Vice President of Field Operations, and Chief Operating Officer. He is a graduate of Rutgers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about 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WM (</w:t>
      </w:r>
      <w:r>
        <w:rPr>
          <w:rFonts w:ascii="Times New Roman;Times;Serif" w:hAnsi="Times New Roman;Times;Serif"/>
          <w:b w:val="false"/>
          <w:i w:val="false"/>
          <w:caps w:val="false"/>
          <w:smallCaps w:val="false"/>
          <w:sz w:val="20"/>
          <w:u w:val="single"/>
          <w:shd w:fill="FFFFFF" w:val="clear"/>
        </w:rPr>
        <w:t>WM.com</w:t>
      </w:r>
      <w:r>
        <w:rPr>
          <w:rFonts w:ascii="Times New Roman;Times;Serif" w:hAnsi="Times New Roman;Times;Serif"/>
          <w:b w:val="false"/>
          <w:i w:val="false"/>
          <w:caps w:val="false"/>
          <w:smallCaps w:val="false"/>
          <w:sz w:val="20"/>
          <w:shd w:fill="FFFFFF" w:val="clear"/>
        </w:rPr>
        <w:t xml:space="preserve">) is North America's leading provider of comprehensive environmental solutions. Previously known as Waste Management and based in Houston, Texas, WM is driven by commitments to put people first and achieve success with integrity. WM,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through its subsidiaries, also provides collection and disposal services of regulated medical waste and secure information destruction services in the U.S., Canada and Western Europe. To learn more about WM and the company's sustainability progress and solutions, visit </w:t>
      </w:r>
      <w:r>
        <w:rPr>
          <w:rFonts w:ascii="Times New Roman;Times;Serif" w:hAnsi="Times New Roman;Times;Serif"/>
          <w:b w:val="false"/>
          <w:i w:val="false"/>
          <w:caps w:val="false"/>
          <w:smallCaps w:val="false"/>
          <w:sz w:val="20"/>
          <w:u w:val="single"/>
          <w:shd w:fill="FFFFFF" w:val="clear"/>
        </w:rPr>
        <w:t>Sustainability.WM.com</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www.wm.com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Analysts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Egl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713.265.1656</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eegl@wm.com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Toni Werner</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media@wm.com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1521</Words>
  <Characters>8166</Characters>
  <CharactersWithSpaces>9691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