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154305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1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(Mark One)</w:t>
      </w:r>
    </w:p>
    <w:p>
      <w:pPr>
        <w:spacing w:after="0" w:line="106" w:lineRule="exact"/>
        <w:rPr>
          <w:sz w:val="24"/>
          <w:szCs w:val="24"/>
          <w:color w:val="auto"/>
        </w:rPr>
      </w:pPr>
    </w:p>
    <w:p>
      <w:pPr>
        <w:ind w:left="520" w:right="1400" w:hanging="373"/>
        <w:spacing w:after="0" w:line="381" w:lineRule="auto"/>
        <w:tabs>
          <w:tab w:leader="none" w:pos="52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AND EXCHANGE ACT OF 1934 For the fiscal year ended December 31,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3" w:lineRule="exact"/>
        <w:rPr>
          <w:sz w:val="24"/>
          <w:szCs w:val="24"/>
          <w:color w:val="auto"/>
        </w:rPr>
      </w:pPr>
    </w:p>
    <w:p>
      <w:pPr>
        <w:ind w:left="540" w:hanging="393"/>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AND EXCHANGE ACT OF 1934</w:t>
      </w:r>
    </w:p>
    <w:p>
      <w:pPr>
        <w:spacing w:after="0" w:line="94" w:lineRule="exact"/>
        <w:rPr>
          <w:sz w:val="24"/>
          <w:szCs w:val="24"/>
          <w:color w:val="auto"/>
        </w:rPr>
      </w:pPr>
    </w:p>
    <w:tbl>
      <w:tblPr>
        <w:tblLayout w:type="fixed"/>
        <w:tblInd w:w="260" w:type="dxa"/>
        <w:tblCellMar>
          <w:top w:w="0" w:type="dxa"/>
          <w:left w:w="0" w:type="dxa"/>
          <w:bottom w:w="0" w:type="dxa"/>
          <w:right w:w="0" w:type="dxa"/>
        </w:tblCellMar>
      </w:tblPr>
      <w:tr>
        <w:trPr>
          <w:trHeight w:val="212"/>
        </w:trPr>
        <w:tc>
          <w:tcPr>
            <w:tcW w:w="270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1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to</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60" w:type="dxa"/>
            <w:vAlign w:val="bottom"/>
            <w:gridSpan w:val="3"/>
          </w:tcPr>
          <w:p>
            <w:pPr>
              <w:jc w:val="center"/>
              <w:ind w:left="69"/>
              <w:spacing w:after="0"/>
              <w:rPr>
                <w:sz w:val="20"/>
                <w:szCs w:val="20"/>
                <w:color w:val="auto"/>
              </w:rPr>
            </w:pPr>
            <w:r>
              <w:rPr>
                <w:rFonts w:ascii="Times New Roman" w:cs="Times New Roman" w:eastAsia="Times New Roman" w:hAnsi="Times New Roman"/>
                <w:sz w:val="16"/>
                <w:szCs w:val="16"/>
                <w:b w:val="1"/>
                <w:bCs w:val="1"/>
                <w:color w:val="auto"/>
              </w:rPr>
              <w:t>Commission file number 1-12154</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980" w:type="dxa"/>
            <w:vAlign w:val="bottom"/>
            <w:gridSpan w:val="4"/>
          </w:tcPr>
          <w:p>
            <w:pPr>
              <w:jc w:val="center"/>
              <w:ind w:right="2588"/>
              <w:spacing w:after="0"/>
              <w:rPr>
                <w:sz w:val="20"/>
                <w:szCs w:val="20"/>
                <w:color w:val="auto"/>
              </w:rPr>
            </w:pPr>
            <w:r>
              <w:rPr>
                <w:rFonts w:ascii="Times New Roman" w:cs="Times New Roman" w:eastAsia="Times New Roman" w:hAnsi="Times New Roman"/>
                <w:sz w:val="40"/>
                <w:szCs w:val="40"/>
                <w:b w:val="1"/>
                <w:bCs w:val="1"/>
                <w:color w:val="auto"/>
                <w:w w:val="98"/>
              </w:rPr>
              <w:t>Waste Management, Inc.</w:t>
            </w: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60" w:type="dxa"/>
            <w:vAlign w:val="bottom"/>
            <w:gridSpan w:val="3"/>
          </w:tcPr>
          <w:p>
            <w:pPr>
              <w:jc w:val="center"/>
              <w:ind w:left="69"/>
              <w:spacing w:after="0"/>
              <w:rPr>
                <w:sz w:val="20"/>
                <w:szCs w:val="20"/>
                <w:color w:val="auto"/>
              </w:rPr>
            </w:pPr>
            <w:r>
              <w:rPr>
                <w:rFonts w:ascii="Times New Roman" w:cs="Times New Roman" w:eastAsia="Times New Roman" w:hAnsi="Times New Roman"/>
                <w:sz w:val="13"/>
                <w:szCs w:val="13"/>
                <w:i w:val="1"/>
                <w:iCs w:val="1"/>
                <w:color w:val="auto"/>
                <w:w w:val="96"/>
              </w:rPr>
              <w:t>(Exact name of registrant as specified in its charter)</w:t>
            </w: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80" w:type="dxa"/>
            <w:vAlign w:val="bottom"/>
          </w:tcPr>
          <w:p>
            <w:pPr>
              <w:spacing w:after="0"/>
              <w:rPr>
                <w:sz w:val="18"/>
                <w:szCs w:val="18"/>
                <w:color w:val="auto"/>
              </w:rPr>
            </w:pPr>
          </w:p>
        </w:tc>
        <w:tc>
          <w:tcPr>
            <w:tcW w:w="1820" w:type="dxa"/>
            <w:vAlign w:val="bottom"/>
            <w:gridSpan w:val="2"/>
          </w:tcPr>
          <w:p>
            <w:pPr>
              <w:jc w:val="center"/>
              <w:ind w:left="9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20" w:type="dxa"/>
            <w:vAlign w:val="bottom"/>
          </w:tcPr>
          <w:p>
            <w:pPr>
              <w:jc w:val="right"/>
              <w:ind w:right="1828"/>
              <w:spacing w:after="0"/>
              <w:rPr>
                <w:sz w:val="20"/>
                <w:szCs w:val="20"/>
                <w:color w:val="auto"/>
              </w:rPr>
            </w:pPr>
            <w:r>
              <w:rPr>
                <w:rFonts w:ascii="Times New Roman" w:cs="Times New Roman" w:eastAsia="Times New Roman" w:hAnsi="Times New Roman"/>
                <w:sz w:val="14"/>
                <w:szCs w:val="14"/>
                <w:b w:val="1"/>
                <w:bCs w:val="1"/>
                <w:color w:val="auto"/>
              </w:rPr>
              <w:t>73-1309529</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980" w:type="dxa"/>
            <w:vAlign w:val="bottom"/>
            <w:gridSpan w:val="5"/>
          </w:tcPr>
          <w:p>
            <w:pPr>
              <w:jc w:val="center"/>
              <w:ind w:right="3120"/>
              <w:spacing w:after="0" w:line="149" w:lineRule="exact"/>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2820" w:type="dxa"/>
            <w:vAlign w:val="bottom"/>
          </w:tcPr>
          <w:p>
            <w:pPr>
              <w:jc w:val="center"/>
              <w:ind w:right="1628"/>
              <w:spacing w:after="0" w:line="149" w:lineRule="exact"/>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5980" w:type="dxa"/>
            <w:vAlign w:val="bottom"/>
            <w:gridSpan w:val="5"/>
          </w:tcPr>
          <w:p>
            <w:pPr>
              <w:jc w:val="center"/>
              <w:ind w:right="3120"/>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2820" w:type="dxa"/>
            <w:vAlign w:val="bottom"/>
          </w:tcPr>
          <w:p>
            <w:pPr>
              <w:jc w:val="center"/>
              <w:ind w:right="1608"/>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rPr>
                <w:sz w:val="1"/>
                <w:szCs w:val="1"/>
                <w:color w:val="auto"/>
              </w:rPr>
            </w:pPr>
          </w:p>
        </w:tc>
      </w:tr>
      <w:tr>
        <w:trPr>
          <w:trHeight w:val="201"/>
        </w:trPr>
        <w:tc>
          <w:tcPr>
            <w:tcW w:w="880" w:type="dxa"/>
            <w:vAlign w:val="bottom"/>
          </w:tcPr>
          <w:p>
            <w:pPr>
              <w:spacing w:after="0"/>
              <w:rPr>
                <w:sz w:val="17"/>
                <w:szCs w:val="17"/>
                <w:color w:val="auto"/>
              </w:rPr>
            </w:pPr>
          </w:p>
        </w:tc>
        <w:tc>
          <w:tcPr>
            <w:tcW w:w="5980" w:type="dxa"/>
            <w:vAlign w:val="bottom"/>
            <w:gridSpan w:val="5"/>
          </w:tcPr>
          <w:p>
            <w:pPr>
              <w:jc w:val="center"/>
              <w:ind w:right="3120"/>
              <w:spacing w:after="0"/>
              <w:rPr>
                <w:sz w:val="20"/>
                <w:szCs w:val="20"/>
                <w:color w:val="auto"/>
              </w:rPr>
            </w:pPr>
            <w:r>
              <w:rPr>
                <w:rFonts w:ascii="Times New Roman" w:cs="Times New Roman" w:eastAsia="Times New Roman" w:hAnsi="Times New Roman"/>
                <w:sz w:val="14"/>
                <w:szCs w:val="14"/>
                <w:b w:val="1"/>
                <w:bCs w:val="1"/>
                <w:color w:val="auto"/>
              </w:rPr>
              <w:t>800 Capitol Street</w:t>
            </w: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820" w:type="dxa"/>
            <w:vAlign w:val="bottom"/>
            <w:gridSpan w:val="2"/>
          </w:tcPr>
          <w:p>
            <w:pPr>
              <w:jc w:val="center"/>
              <w:ind w:left="988"/>
              <w:spacing w:after="0" w:line="149" w:lineRule="exact"/>
              <w:rPr>
                <w:sz w:val="20"/>
                <w:szCs w:val="20"/>
                <w:color w:val="auto"/>
              </w:rPr>
            </w:pPr>
            <w:r>
              <w:rPr>
                <w:rFonts w:ascii="Times New Roman" w:cs="Times New Roman" w:eastAsia="Times New Roman" w:hAnsi="Times New Roman"/>
                <w:sz w:val="14"/>
                <w:szCs w:val="14"/>
                <w:b w:val="1"/>
                <w:bCs w:val="1"/>
                <w:color w:val="auto"/>
              </w:rPr>
              <w:t>Suite 3000</w:t>
            </w: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vMerge w:val="restart"/>
          </w:tcPr>
          <w:p>
            <w:pPr>
              <w:jc w:val="right"/>
              <w:ind w:right="2008"/>
              <w:spacing w:after="0"/>
              <w:rPr>
                <w:sz w:val="20"/>
                <w:szCs w:val="20"/>
                <w:color w:val="auto"/>
              </w:rPr>
            </w:pPr>
            <w:r>
              <w:rPr>
                <w:rFonts w:ascii="Times New Roman" w:cs="Times New Roman" w:eastAsia="Times New Roman" w:hAnsi="Times New Roman"/>
                <w:sz w:val="14"/>
                <w:szCs w:val="14"/>
                <w:b w:val="1"/>
                <w:bCs w:val="1"/>
                <w:color w:val="auto"/>
              </w:rPr>
              <w:t>77002</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980" w:type="dxa"/>
            <w:vAlign w:val="bottom"/>
            <w:gridSpan w:val="5"/>
          </w:tcPr>
          <w:p>
            <w:pPr>
              <w:jc w:val="center"/>
              <w:ind w:right="3120"/>
              <w:spacing w:after="0" w:line="149" w:lineRule="exact"/>
              <w:rPr>
                <w:sz w:val="20"/>
                <w:szCs w:val="20"/>
                <w:color w:val="auto"/>
              </w:rPr>
            </w:pPr>
            <w:r>
              <w:rPr>
                <w:rFonts w:ascii="Times New Roman" w:cs="Times New Roman" w:eastAsia="Times New Roman" w:hAnsi="Times New Roman"/>
                <w:sz w:val="14"/>
                <w:szCs w:val="14"/>
                <w:b w:val="1"/>
                <w:bCs w:val="1"/>
                <w:color w:val="auto"/>
              </w:rPr>
              <w:t>Houston, Texas</w:t>
            </w: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5980" w:type="dxa"/>
            <w:vAlign w:val="bottom"/>
            <w:gridSpan w:val="5"/>
          </w:tcPr>
          <w:p>
            <w:pPr>
              <w:jc w:val="center"/>
              <w:ind w:right="312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2820" w:type="dxa"/>
            <w:vAlign w:val="bottom"/>
          </w:tcPr>
          <w:p>
            <w:pPr>
              <w:jc w:val="center"/>
              <w:ind w:right="1628"/>
              <w:spacing w:after="0"/>
              <w:rPr>
                <w:sz w:val="20"/>
                <w:szCs w:val="20"/>
                <w:color w:val="auto"/>
              </w:rPr>
            </w:pPr>
            <w:r>
              <w:rPr>
                <w:rFonts w:ascii="Times New Roman" w:cs="Times New Roman" w:eastAsia="Times New Roman" w:hAnsi="Times New Roman"/>
                <w:sz w:val="14"/>
                <w:szCs w:val="14"/>
                <w:i w:val="1"/>
                <w:iCs w:val="1"/>
                <w:color w:val="auto"/>
              </w:rPr>
              <w:t>(Zip code)</w:t>
            </w:r>
          </w:p>
        </w:tc>
        <w:tc>
          <w:tcPr>
            <w:tcW w:w="0" w:type="dxa"/>
            <w:vAlign w:val="bottom"/>
          </w:tcPr>
          <w:p>
            <w:pPr>
              <w:spacing w:after="0"/>
              <w:rPr>
                <w:sz w:val="1"/>
                <w:szCs w:val="1"/>
                <w:color w:val="auto"/>
              </w:rPr>
            </w:pPr>
          </w:p>
        </w:tc>
      </w:tr>
      <w:tr>
        <w:trPr>
          <w:trHeight w:val="201"/>
        </w:trPr>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160" w:type="dxa"/>
            <w:vAlign w:val="bottom"/>
            <w:gridSpan w:val="3"/>
          </w:tcPr>
          <w:p>
            <w:pPr>
              <w:jc w:val="center"/>
              <w:ind w:left="69"/>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60" w:type="dxa"/>
            <w:vAlign w:val="bottom"/>
            <w:gridSpan w:val="2"/>
          </w:tcPr>
          <w:p>
            <w:pPr>
              <w:jc w:val="center"/>
              <w:ind w:left="1589"/>
              <w:spacing w:after="0"/>
              <w:rPr>
                <w:sz w:val="20"/>
                <w:szCs w:val="20"/>
                <w:color w:val="auto"/>
              </w:rPr>
            </w:pPr>
            <w:r>
              <w:rPr>
                <w:rFonts w:ascii="Times New Roman" w:cs="Times New Roman" w:eastAsia="Times New Roman" w:hAnsi="Times New Roman"/>
                <w:sz w:val="14"/>
                <w:szCs w:val="14"/>
                <w:b w:val="1"/>
                <w:bCs w:val="1"/>
                <w:color w:val="auto"/>
              </w:rPr>
              <w:t>(713) 512-6200</w:t>
            </w:r>
          </w:p>
        </w:tc>
        <w:tc>
          <w:tcPr>
            <w:tcW w:w="15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60" w:type="dxa"/>
            <w:vAlign w:val="bottom"/>
            <w:gridSpan w:val="3"/>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500" w:type="dxa"/>
            <w:vAlign w:val="bottom"/>
          </w:tcPr>
          <w:p>
            <w:pPr>
              <w:spacing w:after="0"/>
              <w:rPr>
                <w:sz w:val="19"/>
                <w:szCs w:val="19"/>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20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Common Stock, $0.01 par</w:t>
            </w: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value</w:t>
            </w:r>
          </w:p>
        </w:tc>
        <w:tc>
          <w:tcPr>
            <w:tcW w:w="1660" w:type="dxa"/>
            <w:vAlign w:val="bottom"/>
          </w:tcPr>
          <w:p>
            <w:pPr>
              <w:spacing w:after="0"/>
              <w:rPr>
                <w:sz w:val="15"/>
                <w:szCs w:val="15"/>
                <w:color w:val="auto"/>
              </w:rPr>
            </w:pPr>
          </w:p>
        </w:tc>
        <w:tc>
          <w:tcPr>
            <w:tcW w:w="2500" w:type="dxa"/>
            <w:vAlign w:val="bottom"/>
            <w:gridSpan w:val="2"/>
          </w:tcPr>
          <w:p>
            <w:pPr>
              <w:jc w:val="center"/>
              <w:ind w:right="1520"/>
              <w:spacing w:after="0"/>
              <w:rPr>
                <w:sz w:val="20"/>
                <w:szCs w:val="20"/>
                <w:color w:val="auto"/>
              </w:rPr>
            </w:pPr>
            <w:r>
              <w:rPr>
                <w:rFonts w:ascii="Times New Roman" w:cs="Times New Roman" w:eastAsia="Times New Roman" w:hAnsi="Times New Roman"/>
                <w:sz w:val="14"/>
                <w:szCs w:val="14"/>
                <w:color w:val="auto"/>
              </w:rPr>
              <w:t>WM</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42"/>
        </w:trPr>
        <w:tc>
          <w:tcPr>
            <w:tcW w:w="68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by Rule 405 of the Securities Act.</w:t>
            </w:r>
          </w:p>
        </w:tc>
        <w:tc>
          <w:tcPr>
            <w:tcW w:w="2820" w:type="dxa"/>
            <w:vAlign w:val="bottom"/>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60"/>
        <w:spacing w:after="0" w:line="161" w:lineRule="exact"/>
        <w:tabs>
          <w:tab w:leader="none" w:pos="772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27" w:lineRule="exact"/>
        <w:rPr>
          <w:sz w:val="24"/>
          <w:szCs w:val="24"/>
          <w:color w:val="auto"/>
        </w:rPr>
      </w:pPr>
    </w:p>
    <w:p>
      <w:pPr>
        <w:jc w:val="both"/>
        <w:ind w:left="20" w:firstLine="25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80"/>
        <w:spacing w:after="0" w:line="161" w:lineRule="exact"/>
        <w:tabs>
          <w:tab w:leader="none" w:pos="5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Regulations S-T (§</w:t>
      </w:r>
    </w:p>
    <w:p>
      <w:pPr>
        <w:spacing w:after="0" w:line="12" w:lineRule="exact"/>
        <w:rPr>
          <w:sz w:val="24"/>
          <w:szCs w:val="24"/>
          <w:color w:val="auto"/>
        </w:rPr>
      </w:pPr>
    </w:p>
    <w:p>
      <w:pPr>
        <w:ind w:left="20"/>
        <w:spacing w:after="0" w:line="161" w:lineRule="exact"/>
        <w:tabs>
          <w:tab w:leader="none" w:pos="8460" w:val="left"/>
          <w:tab w:leader="none" w:pos="8960" w:val="left"/>
        </w:tabs>
        <w:rPr>
          <w:sz w:val="20"/>
          <w:szCs w:val="20"/>
          <w:color w:val="auto"/>
        </w:rPr>
      </w:pPr>
      <w:r>
        <w:rPr>
          <w:rFonts w:ascii="Times New Roman" w:cs="Times New Roman" w:eastAsia="Times New Roman" w:hAnsi="Times New Roman"/>
          <w:sz w:val="14"/>
          <w:szCs w:val="14"/>
          <w:color w:val="auto"/>
        </w:rPr>
        <w:t>232.405 of this chapter) during the preceding 12 months (or for such shorter period that the registrant was required to submit and post such files).</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85" w:lineRule="exact"/>
        <w:rPr>
          <w:sz w:val="24"/>
          <w:szCs w:val="24"/>
          <w:color w:val="auto"/>
        </w:rPr>
      </w:pPr>
    </w:p>
    <w:p>
      <w:pPr>
        <w:ind w:left="20" w:right="20" w:firstLine="25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1" w:right="839" w:bottom="1440" w:gutter="0" w:footer="0" w:header="0"/>
        </w:sectPr>
      </w:pPr>
    </w:p>
    <w:p>
      <w:pPr>
        <w:spacing w:after="0" w:line="37"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62"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ind w:left="62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6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5"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66" w:lineRule="exact"/>
        <w:rPr>
          <w:sz w:val="24"/>
          <w:szCs w:val="24"/>
          <w:color w:val="auto"/>
        </w:rPr>
      </w:pPr>
    </w:p>
    <w:p>
      <w:pPr>
        <w:sectPr>
          <w:pgSz w:w="11900" w:h="16838" w:orient="portrait"/>
          <w:cols w:equalWidth="0" w:num="2">
            <w:col w:w="7760" w:space="720"/>
            <w:col w:w="1760"/>
          </w:cols>
          <w:pgMar w:left="820" w:top="661" w:right="839" w:bottom="1440" w:gutter="0" w:footer="0" w:header="0"/>
          <w:type w:val="continuous"/>
        </w:sectPr>
      </w:pPr>
    </w:p>
    <w:p>
      <w:pPr>
        <w:jc w:val="both"/>
        <w:ind w:left="20" w:firstLine="259"/>
        <w:spacing w:after="0" w:line="19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9" w:lineRule="exact"/>
        <w:rPr>
          <w:sz w:val="24"/>
          <w:szCs w:val="24"/>
          <w:color w:val="auto"/>
        </w:rPr>
      </w:pPr>
    </w:p>
    <w:p>
      <w:pPr>
        <w:jc w:val="both"/>
        <w:ind w:left="20" w:right="20" w:firstLine="259"/>
        <w:spacing w:after="0" w:line="19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29" w:lineRule="exact"/>
        <w:rPr>
          <w:sz w:val="24"/>
          <w:szCs w:val="24"/>
          <w:color w:val="auto"/>
        </w:rPr>
      </w:pPr>
    </w:p>
    <w:p>
      <w:pPr>
        <w:jc w:val="both"/>
        <w:ind w:left="20" w:firstLine="259"/>
        <w:spacing w:after="0" w:line="195"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29" w:lineRule="exact"/>
        <w:rPr>
          <w:sz w:val="24"/>
          <w:szCs w:val="24"/>
          <w:color w:val="auto"/>
        </w:rPr>
      </w:pPr>
    </w:p>
    <w:p>
      <w:pPr>
        <w:jc w:val="both"/>
        <w:ind w:left="20" w:right="20" w:firstLine="259"/>
        <w:spacing w:after="0" w:line="195"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3" w:lineRule="exact"/>
        <w:rPr>
          <w:sz w:val="24"/>
          <w:szCs w:val="24"/>
          <w:color w:val="auto"/>
        </w:rPr>
      </w:pPr>
    </w:p>
    <w:p>
      <w:pPr>
        <w:ind w:left="260"/>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5"/>
          <w:szCs w:val="15"/>
          <w:color w:val="auto"/>
        </w:rPr>
        <w:t>☑</w:t>
      </w:r>
    </w:p>
    <w:p>
      <w:pPr>
        <w:spacing w:after="0" w:line="128" w:lineRule="exact"/>
        <w:rPr>
          <w:sz w:val="24"/>
          <w:szCs w:val="24"/>
          <w:color w:val="auto"/>
        </w:rPr>
      </w:pPr>
    </w:p>
    <w:p>
      <w:pPr>
        <w:jc w:val="both"/>
        <w:ind w:left="20" w:firstLine="259"/>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as of June 30, 2024 was approximately $85.4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5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The number of shares of Common Stock, $0.01 par value, of the registrant outstanding as of February 14, 2025 was 402,115,439 (excluding treasury shares of 228,167,022).</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3200" w:type="dxa"/>
            <w:vAlign w:val="bottom"/>
            <w:gridSpan w:val="2"/>
          </w:tcPr>
          <w:p>
            <w:pPr>
              <w:jc w:val="center"/>
              <w:ind w:right="2493"/>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4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Incorporated as to</w:t>
            </w:r>
          </w:p>
        </w:tc>
      </w:tr>
      <w:tr>
        <w:trPr>
          <w:trHeight w:val="119"/>
        </w:trPr>
        <w:tc>
          <w:tcPr>
            <w:tcW w:w="2200" w:type="dxa"/>
            <w:vAlign w:val="bottom"/>
          </w:tcPr>
          <w:p>
            <w:pPr>
              <w:ind w:left="1840"/>
              <w:spacing w:after="0" w:line="119" w:lineRule="exact"/>
              <w:rPr>
                <w:sz w:val="20"/>
                <w:szCs w:val="20"/>
                <w:color w:val="auto"/>
              </w:rPr>
            </w:pPr>
            <w:r>
              <w:rPr>
                <w:rFonts w:ascii="Times New Roman" w:cs="Times New Roman" w:eastAsia="Times New Roman" w:hAnsi="Times New Roman"/>
                <w:sz w:val="13"/>
                <w:szCs w:val="13"/>
                <w:color w:val="auto"/>
              </w:rPr>
              <w:t>Proxy</w:t>
            </w:r>
          </w:p>
        </w:tc>
        <w:tc>
          <w:tcPr>
            <w:tcW w:w="6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Statement</w:t>
            </w:r>
          </w:p>
        </w:tc>
        <w:tc>
          <w:tcPr>
            <w:tcW w:w="25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for the</w:t>
            </w:r>
          </w:p>
        </w:tc>
        <w:tc>
          <w:tcPr>
            <w:tcW w:w="176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Part III</w:t>
            </w:r>
          </w:p>
        </w:tc>
        <w:tc>
          <w:tcPr>
            <w:tcW w:w="1940" w:type="dxa"/>
            <w:vAlign w:val="bottom"/>
          </w:tcPr>
          <w:p>
            <w:pPr>
              <w:spacing w:after="0"/>
              <w:rPr>
                <w:sz w:val="10"/>
                <w:szCs w:val="10"/>
                <w:color w:val="auto"/>
              </w:rPr>
            </w:pPr>
          </w:p>
        </w:tc>
      </w:tr>
      <w:tr>
        <w:trPr>
          <w:trHeight w:val="188"/>
        </w:trPr>
        <w:tc>
          <w:tcPr>
            <w:tcW w:w="5400" w:type="dxa"/>
            <w:vAlign w:val="bottom"/>
            <w:gridSpan w:val="3"/>
          </w:tcPr>
          <w:p>
            <w:pPr>
              <w:jc w:val="center"/>
              <w:ind w:right="293"/>
              <w:spacing w:after="0"/>
              <w:rPr>
                <w:sz w:val="20"/>
                <w:szCs w:val="20"/>
                <w:color w:val="auto"/>
              </w:rPr>
            </w:pPr>
            <w:r>
              <w:rPr>
                <w:rFonts w:ascii="Times New Roman" w:cs="Times New Roman" w:eastAsia="Times New Roman" w:hAnsi="Times New Roman"/>
                <w:sz w:val="14"/>
                <w:szCs w:val="14"/>
                <w:color w:val="auto"/>
              </w:rPr>
              <w:t>2025 Annual Meeting of Stockholders</w:t>
            </w:r>
          </w:p>
        </w:tc>
        <w:tc>
          <w:tcPr>
            <w:tcW w:w="1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64"/>
        </w:trPr>
        <w:tc>
          <w:tcPr>
            <w:tcW w:w="22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r>
      <w:tr>
        <w:trPr>
          <w:trHeight w:val="81"/>
        </w:trPr>
        <w:tc>
          <w:tcPr>
            <w:tcW w:w="2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r>
      <w:tr>
        <w:trPr>
          <w:trHeight w:val="574"/>
        </w:trPr>
        <w:tc>
          <w:tcPr>
            <w:tcW w:w="2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500" w:type="dxa"/>
            <w:vAlign w:val="bottom"/>
            <w:gridSpan w:val="37"/>
            <w:vMerge w:val="restart"/>
          </w:tcPr>
          <w:p>
            <w:pPr>
              <w:spacing w:after="0"/>
              <w:rPr>
                <w:sz w:val="20"/>
                <w:szCs w:val="20"/>
                <w:color w:val="auto"/>
              </w:rPr>
            </w:pPr>
            <w:r>
              <w:rPr>
                <w:rFonts w:ascii="Times New Roman" w:cs="Times New Roman" w:eastAsia="Times New Roman" w:hAnsi="Times New Roman"/>
                <w:sz w:val="18"/>
                <w:szCs w:val="18"/>
                <w:color w:val="0000EE"/>
              </w:rPr>
              <w:t>Cautionary Statement on Forward-Looking Statements</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500" w:type="dxa"/>
            <w:vAlign w:val="bottom"/>
            <w:gridSpan w:val="37"/>
            <w:vMerge w:val="continue"/>
          </w:tcPr>
          <w:p>
            <w:pPr>
              <w:spacing w:after="0"/>
              <w:rPr>
                <w:sz w:val="13"/>
                <w:szCs w:val="13"/>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Risk Factors Summary</w:t>
            </w:r>
          </w:p>
        </w:tc>
        <w:tc>
          <w:tcPr>
            <w:tcW w:w="4560" w:type="dxa"/>
            <w:vAlign w:val="bottom"/>
            <w:gridSpan w:val="18"/>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EE"/>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PART I</w:t>
            </w:r>
          </w:p>
        </w:tc>
        <w:tc>
          <w:tcPr>
            <w:tcW w:w="3520" w:type="dxa"/>
            <w:vAlign w:val="bottom"/>
            <w:gridSpan w:val="11"/>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w:t>
            </w:r>
          </w:p>
        </w:tc>
        <w:tc>
          <w:tcPr>
            <w:tcW w:w="100" w:type="dxa"/>
            <w:vAlign w:val="bottom"/>
          </w:tcPr>
          <w:p>
            <w:pPr>
              <w:spacing w:after="0"/>
              <w:rPr>
                <w:sz w:val="17"/>
                <w:szCs w:val="17"/>
                <w:color w:val="auto"/>
              </w:rPr>
            </w:pP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1B.</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1C.</w:t>
            </w:r>
          </w:p>
        </w:tc>
        <w:tc>
          <w:tcPr>
            <w:tcW w:w="180" w:type="dxa"/>
            <w:vAlign w:val="bottom"/>
            <w:gridSpan w:val="2"/>
          </w:tcPr>
          <w:p>
            <w:pPr>
              <w:spacing w:after="0"/>
              <w:rPr>
                <w:sz w:val="17"/>
                <w:szCs w:val="17"/>
                <w:color w:val="auto"/>
              </w:rPr>
            </w:pP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80" w:type="dxa"/>
            <w:vAlign w:val="bottom"/>
            <w:gridSpan w:val="2"/>
          </w:tcPr>
          <w:p>
            <w:pPr>
              <w:spacing w:after="0"/>
              <w:rPr>
                <w:sz w:val="17"/>
                <w:szCs w:val="17"/>
                <w:color w:val="auto"/>
              </w:rPr>
            </w:pP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14"/>
          </w:tcPr>
          <w:p>
            <w:pPr>
              <w:jc w:val="center"/>
              <w:ind w:right="3500"/>
              <w:spacing w:after="0" w:line="196" w:lineRule="exact"/>
              <w:rPr>
                <w:sz w:val="20"/>
                <w:szCs w:val="20"/>
                <w:color w:val="auto"/>
              </w:rPr>
            </w:pPr>
            <w:r>
              <w:rPr>
                <w:rFonts w:ascii="Times New Roman" w:cs="Times New Roman" w:eastAsia="Times New Roman" w:hAnsi="Times New Roman"/>
                <w:sz w:val="18"/>
                <w:szCs w:val="18"/>
                <w:b w:val="1"/>
                <w:bCs w:val="1"/>
                <w:color w:val="0000EE"/>
                <w:w w:val="94"/>
              </w:rPr>
              <w:t>PART II</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6420" w:type="dxa"/>
            <w:vAlign w:val="bottom"/>
            <w:tcBorders>
              <w:top w:val="single" w:sz="8" w:color="0000EE"/>
            </w:tcBorders>
            <w:gridSpan w:val="25"/>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w:t>
            </w:r>
          </w:p>
        </w:tc>
        <w:tc>
          <w:tcPr>
            <w:tcW w:w="100" w:type="dxa"/>
            <w:vAlign w:val="bottom"/>
          </w:tcPr>
          <w:p>
            <w:pPr>
              <w:spacing w:after="0"/>
              <w:rPr>
                <w:sz w:val="17"/>
                <w:szCs w:val="17"/>
                <w:color w:val="auto"/>
              </w:rPr>
            </w:pP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100" w:type="dxa"/>
            <w:vAlign w:val="bottom"/>
          </w:tcPr>
          <w:p>
            <w:pPr>
              <w:spacing w:after="0"/>
              <w:rPr>
                <w:sz w:val="17"/>
                <w:szCs w:val="17"/>
                <w:color w:val="auto"/>
              </w:rPr>
            </w:pP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w:t>
            </w:r>
          </w:p>
        </w:tc>
        <w:tc>
          <w:tcPr>
            <w:tcW w:w="100" w:type="dxa"/>
            <w:vAlign w:val="bottom"/>
          </w:tcPr>
          <w:p>
            <w:pPr>
              <w:spacing w:after="0"/>
              <w:rPr>
                <w:sz w:val="17"/>
                <w:szCs w:val="17"/>
                <w:color w:val="auto"/>
              </w:rPr>
            </w:pP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9B.</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9C.</w:t>
            </w:r>
          </w:p>
        </w:tc>
        <w:tc>
          <w:tcPr>
            <w:tcW w:w="180" w:type="dxa"/>
            <w:vAlign w:val="bottom"/>
            <w:gridSpan w:val="2"/>
          </w:tcPr>
          <w:p>
            <w:pPr>
              <w:spacing w:after="0"/>
              <w:rPr>
                <w:sz w:val="17"/>
                <w:szCs w:val="17"/>
                <w:color w:val="auto"/>
              </w:rPr>
            </w:pP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Borders>
              <w:top w:val="single" w:sz="8" w:color="0000EE"/>
              <w:bottom w:val="single" w:sz="8" w:color="0000EE"/>
            </w:tcBorders>
            <w:gridSpan w:val="8"/>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720" w:type="dxa"/>
            <w:vAlign w:val="bottom"/>
            <w:tcBorders>
              <w:top w:val="single" w:sz="8" w:color="0000EE"/>
            </w:tcBorders>
            <w:gridSpan w:val="2"/>
          </w:tcPr>
          <w:p>
            <w:pPr>
              <w:spacing w:after="0"/>
              <w:rPr>
                <w:sz w:val="17"/>
                <w:szCs w:val="17"/>
                <w:color w:val="auto"/>
              </w:rPr>
            </w:pPr>
          </w:p>
        </w:tc>
        <w:tc>
          <w:tcPr>
            <w:tcW w:w="2720" w:type="dxa"/>
            <w:vAlign w:val="bottom"/>
            <w:gridSpan w:val="6"/>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10.</w:t>
            </w:r>
          </w:p>
        </w:tc>
        <w:tc>
          <w:tcPr>
            <w:tcW w:w="180" w:type="dxa"/>
            <w:vAlign w:val="bottom"/>
            <w:gridSpan w:val="2"/>
          </w:tcPr>
          <w:p>
            <w:pPr>
              <w:spacing w:after="0"/>
              <w:rPr>
                <w:sz w:val="17"/>
                <w:szCs w:val="17"/>
                <w:color w:val="auto"/>
              </w:rPr>
            </w:pP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11.</w:t>
            </w:r>
          </w:p>
        </w:tc>
        <w:tc>
          <w:tcPr>
            <w:tcW w:w="180" w:type="dxa"/>
            <w:vAlign w:val="bottom"/>
            <w:gridSpan w:val="2"/>
          </w:tcPr>
          <w:p>
            <w:pPr>
              <w:spacing w:after="0"/>
              <w:rPr>
                <w:sz w:val="17"/>
                <w:szCs w:val="17"/>
                <w:color w:val="auto"/>
              </w:rPr>
            </w:pP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12.</w:t>
            </w:r>
          </w:p>
        </w:tc>
        <w:tc>
          <w:tcPr>
            <w:tcW w:w="180" w:type="dxa"/>
            <w:vAlign w:val="bottom"/>
            <w:gridSpan w:val="2"/>
          </w:tcPr>
          <w:p>
            <w:pPr>
              <w:spacing w:after="0"/>
              <w:rPr>
                <w:sz w:val="17"/>
                <w:szCs w:val="17"/>
                <w:color w:val="auto"/>
              </w:rPr>
            </w:pP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7"/>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13.</w:t>
            </w:r>
          </w:p>
        </w:tc>
        <w:tc>
          <w:tcPr>
            <w:tcW w:w="180" w:type="dxa"/>
            <w:vAlign w:val="bottom"/>
            <w:gridSpan w:val="2"/>
          </w:tcPr>
          <w:p>
            <w:pPr>
              <w:spacing w:after="0"/>
              <w:rPr>
                <w:sz w:val="17"/>
                <w:szCs w:val="17"/>
                <w:color w:val="auto"/>
              </w:rPr>
            </w:pP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7"/>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14.</w:t>
            </w:r>
          </w:p>
        </w:tc>
        <w:tc>
          <w:tcPr>
            <w:tcW w:w="180" w:type="dxa"/>
            <w:vAlign w:val="bottom"/>
            <w:gridSpan w:val="2"/>
          </w:tcPr>
          <w:p>
            <w:pPr>
              <w:spacing w:after="0"/>
              <w:rPr>
                <w:sz w:val="17"/>
                <w:szCs w:val="17"/>
                <w:color w:val="auto"/>
              </w:rPr>
            </w:pP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0000EE"/>
            </w:tcBorders>
            <w:gridSpan w:val="6"/>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0000EE"/>
                <w:w w:val="95"/>
              </w:rPr>
              <w:t>PART IV</w:t>
            </w:r>
          </w:p>
        </w:tc>
        <w:tc>
          <w:tcPr>
            <w:tcW w:w="3460" w:type="dxa"/>
            <w:vAlign w:val="bottom"/>
            <w:gridSpan w:val="9"/>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15.</w:t>
            </w:r>
          </w:p>
        </w:tc>
        <w:tc>
          <w:tcPr>
            <w:tcW w:w="180" w:type="dxa"/>
            <w:vAlign w:val="bottom"/>
            <w:gridSpan w:val="2"/>
          </w:tcPr>
          <w:p>
            <w:pPr>
              <w:spacing w:after="0"/>
              <w:rPr>
                <w:sz w:val="17"/>
                <w:szCs w:val="17"/>
                <w:color w:val="auto"/>
              </w:rPr>
            </w:pP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6080" w:type="dxa"/>
            <w:vAlign w:val="bottom"/>
            <w:gridSpan w:val="2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16.</w:t>
            </w:r>
          </w:p>
        </w:tc>
        <w:tc>
          <w:tcPr>
            <w:tcW w:w="180" w:type="dxa"/>
            <w:vAlign w:val="bottom"/>
            <w:gridSpan w:val="2"/>
          </w:tcPr>
          <w:p>
            <w:pPr>
              <w:spacing w:after="0"/>
              <w:rPr>
                <w:sz w:val="17"/>
                <w:szCs w:val="17"/>
                <w:color w:val="auto"/>
              </w:rPr>
            </w:pPr>
          </w:p>
        </w:tc>
        <w:tc>
          <w:tcPr>
            <w:tcW w:w="7740" w:type="dxa"/>
            <w:vAlign w:val="bottom"/>
            <w:gridSpan w:val="33"/>
          </w:tcPr>
          <w:p>
            <w:pPr>
              <w:ind w:left="120"/>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Borders>
              <w:top w:val="single" w:sz="8" w:color="0000EE"/>
            </w:tcBorders>
            <w:gridSpan w:val="9"/>
          </w:tcPr>
          <w:p>
            <w:pPr>
              <w:spacing w:after="0"/>
              <w:rPr>
                <w:sz w:val="24"/>
                <w:szCs w:val="24"/>
                <w:color w:val="auto"/>
              </w:rPr>
            </w:pPr>
          </w:p>
        </w:tc>
        <w:tc>
          <w:tcPr>
            <w:tcW w:w="2540" w:type="dxa"/>
            <w:vAlign w:val="bottom"/>
            <w:gridSpan w:val="11"/>
          </w:tcPr>
          <w:p>
            <w:pPr>
              <w:jc w:val="right"/>
              <w:ind w:right="39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Statement About Forward-Looking Statements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certain forward-looking statements that are made subject to the safe harbor protections provided by the Private Securities Litigation Reform Act of 1995. Forward-looking statements are often identified by the words, “will,” “may,” “should,” “continue,” “anticipate,” “believe,” “expect,” “target,” “plan,” “forecast,” “project,” “estimate,” “intend,” “commit,” “potential” and words of a similar nature and generally include statements regarding future results of operations, including revenues, earnings or cash flows; plans and objectives for the future; projections, estimates or assumptions relating to our operational or financial performance, including anticipated impacts of the Inflation Reduction Act of 2022; projections, estimates or assumptions relating to our capital expenditures; or our opinions, views or beliefs about the effects of current or future events, circumstances or performance.</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You should view these statements with caution. These statements are not guarantees of future performance, circumstances or events. They are based on facts and circumstances known to us as of the date the statements are made, and you should not place undue reliance on any such forward-looking statements. Forward-looking statements are subject to certain risks and uncertainties that could cause actual results to differ materially from our historical experience and our present expectations or anticipated results. These risks and uncertainties include, but are not limited to, those described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Annual Report and may also be described from time to time in our future reports filed with the U.S. Securities and Exchange Commission (“SEC”). We do not undertake any obligation to update forward-looking statements to reflect events, circumstances, changes in expectations or other developments after the date of those statements.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7"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color w:val="auto"/>
        </w:rPr>
        <w:t xml:space="preserve">Our business is subject to numerous risks and uncertainties, including those described in Part I,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of this Annual Report. These risks include the following:</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Strategy and Operational Risks</w:t>
      </w:r>
    </w:p>
    <w:p>
      <w:pPr>
        <w:spacing w:after="0" w:line="225" w:lineRule="exact"/>
        <w:rPr>
          <w:sz w:val="20"/>
          <w:szCs w:val="20"/>
          <w:color w:val="auto"/>
        </w:rPr>
      </w:pPr>
    </w:p>
    <w:p>
      <w:pPr>
        <w:ind w:left="720" w:right="79" w:hanging="319"/>
        <w:spacing w:after="0" w:line="26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implement our business strategy, our financial performance and our growth could be materially and adversely affected.</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strategic benefits and cost synergies anticipated from the Stericycle acquisition.</w:t>
      </w:r>
    </w:p>
    <w:p>
      <w:pPr>
        <w:spacing w:after="0" w:line="22"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must comply with extensive existing regulations, and changes in regulations, including with respect to emerging contaminants, such as PFAS (as defined below), and extended producer responsibility, can restrict or alter our operations, increase our operating costs, increase our tax liabilities, reduce revenues, or require us to make additional capital expenditures.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operational and safety risks, including the risk of injury to employees and others.</w:t>
      </w:r>
    </w:p>
    <w:p>
      <w:pPr>
        <w:spacing w:after="0" w:line="22"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or maintain required permits for our operations or expand existing permitted capacity at our landfills, due to land scarcity, public opposition or otherwise, which can require us to identify disposal alternatives, resulting in decreased revenue and increased costs.</w:t>
      </w: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labor costs as a result of labor unions organizing, changes in regulations related to labor unions or increases in employee minimum wages, could adversely affect our future results.</w:t>
      </w:r>
    </w:p>
    <w:p>
      <w:pPr>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 nature of our business, severe weather events resulting from climate change and event driven projects cause our results to fluctuate, and prior performance may not be indicative of our future results.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the value of our brand would negatively impact our business.</w:t>
      </w:r>
    </w:p>
    <w:p>
      <w:pPr>
        <w:spacing w:after="0" w:line="22" w:lineRule="exact"/>
        <w:rPr>
          <w:rFonts w:ascii="Times New Roman" w:cs="Times New Roman" w:eastAsia="Times New Roman" w:hAnsi="Times New Roman"/>
          <w:sz w:val="18"/>
          <w:szCs w:val="18"/>
          <w:color w:val="auto"/>
        </w:rPr>
      </w:pPr>
    </w:p>
    <w:p>
      <w:pPr>
        <w:jc w:val="both"/>
        <w:ind w:left="720" w:right="79" w:hanging="319"/>
        <w:spacing w:after="0" w:line="27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significant investments in an extensive natural gas truck fleet, which makes us partially dependent on the availability of natural gas and fueling infrastructure and vulnerable to natural gas prices, and requirements to transition away from our current vehicle fleet to electric powered vehicles could impair our investments and result in cost increases and significant additional capital investment.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720" w:right="79" w:hanging="319"/>
        <w:spacing w:after="0" w:line="267"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our sustainability-related goals, including reduction of our greenhouse gas emissions, or execute on our sustainability-related growth strategy and initiatives, within planned timelines or anticipated budget, which could damage our reputation and negatively impact the benefits anticipated from our investments.</w:t>
      </w:r>
    </w:p>
    <w:p>
      <w:pPr>
        <w:spacing w:after="0" w:line="1" w:lineRule="exact"/>
        <w:rPr>
          <w:rFonts w:ascii="Times New Roman" w:cs="Times New Roman" w:eastAsia="Times New Roman" w:hAnsi="Times New Roman"/>
          <w:sz w:val="18"/>
          <w:szCs w:val="18"/>
          <w:color w:val="auto"/>
        </w:rPr>
      </w:pPr>
    </w:p>
    <w:p>
      <w:pPr>
        <w:ind w:left="720" w:right="79" w:hanging="319"/>
        <w:spacing w:after="0" w:line="29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and regulation of, sustainability performance and disclosure can result in increased costs, risk of noncompliance, damage to our reputation and related adverse effects.</w:t>
      </w:r>
    </w:p>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External Economic and Industry Risks</w:t>
      </w:r>
    </w:p>
    <w:p>
      <w:pPr>
        <w:spacing w:after="0" w:line="225" w:lineRule="exact"/>
        <w:rPr>
          <w:sz w:val="20"/>
          <w:szCs w:val="20"/>
          <w:color w:val="auto"/>
        </w:rPr>
      </w:pPr>
    </w:p>
    <w:p>
      <w:pPr>
        <w:jc w:val="both"/>
        <w:ind w:left="720" w:right="79" w:hanging="319"/>
        <w:spacing w:after="0" w:line="267"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disruption, including labor shortages, external strikes, and supply chain constraints, and macroeconomic pressures, including inflation, have recently had, and may in the future have, an adverse impact on our business and results of operations.</w:t>
      </w:r>
    </w:p>
    <w:p>
      <w:pPr>
        <w:spacing w:after="0" w:line="2"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environmental services industry is highly competitive, and if we cannot successfully compete in the marketplace, our business, financial condition and operating results may be materially adversely affected.</w:t>
      </w:r>
    </w:p>
    <w:p>
      <w:pPr>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earnings and cash flows fluctuate based on changes in commodity prices and demand and may fluctuate substantially without notice in the future.</w:t>
      </w:r>
    </w:p>
    <w:p>
      <w:pPr>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preference for alternatives to landfill disposal and bans on certain types of waste could reduce our landfill volumes and cause our revenues and operating results to decline.</w:t>
      </w:r>
    </w:p>
    <w:p>
      <w:pPr>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can directly and adversely affect revenues for our services and our income from operations margins.</w:t>
      </w:r>
    </w:p>
    <w:p>
      <w:pPr>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volumes of medical waste, controlled substances wastes, and personal and confidential information, and changing conditions in the healthcare industry, could adversely affect our financial results.</w:t>
      </w:r>
    </w:p>
    <w:p>
      <w:pPr>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the economy may expose us to credit risk of governmental entities and municipalities and other major customers, which could negatively impact our financial results.</w:t>
      </w:r>
    </w:p>
    <w:p>
      <w:pPr>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applicable tax laws and regulation or interpretation thereof or the imposition of new or increased taxes may increase our tax liabilities and could adversely affect our operating results and cash flows.</w:t>
      </w: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in diesel fuel supply or increases in diesel fuel prices may increase our operating expenses.</w:t>
      </w:r>
    </w:p>
    <w:p>
      <w:pPr>
        <w:spacing w:after="0" w:line="22" w:lineRule="exact"/>
        <w:rPr>
          <w:rFonts w:ascii="Times New Roman" w:cs="Times New Roman" w:eastAsia="Times New Roman" w:hAnsi="Times New Roman"/>
          <w:sz w:val="18"/>
          <w:szCs w:val="18"/>
          <w:color w:val="auto"/>
        </w:rPr>
      </w:pPr>
    </w:p>
    <w:p>
      <w:pPr>
        <w:ind w:left="720" w:right="79" w:hanging="319"/>
        <w:spacing w:after="0" w:line="29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Large-scale disruption of social and commercial activity and financial markets may have a material adverse impact on our business, financial condition, results of operations and cash flows.</w:t>
      </w:r>
    </w:p>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Technology and Information Security Risks</w:t>
      </w:r>
    </w:p>
    <w:p>
      <w:pPr>
        <w:spacing w:after="0" w:line="225" w:lineRule="exact"/>
        <w:rPr>
          <w:sz w:val="20"/>
          <w:szCs w:val="20"/>
          <w:color w:val="auto"/>
        </w:rPr>
      </w:pPr>
    </w:p>
    <w:p>
      <w:pPr>
        <w:ind w:left="720" w:right="79" w:hanging="319"/>
        <w:spacing w:after="0" w:line="26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technology could trigger a fundamental change in our industry, as waste streams are increasingly viewed as a resource, which may adversely impact volumes at our landfills and our profitability.</w:t>
      </w:r>
    </w:p>
    <w:p>
      <w:pPr>
        <w:spacing w:after="0" w:line="1"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develop new service offerings and protect intellectual property or if a competitor develops or obtains exclusive rights to a breakthrough technology, our financial results may suffer.</w:t>
      </w: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technology, and if our technology fails, our business would be adversely affected.</w:t>
      </w:r>
    </w:p>
    <w:p>
      <w:pPr>
        <w:spacing w:after="0" w:line="22"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adapt to and manage the benefits and risks of artificial intelligence could expose us to liability or put us at a disadvantage.</w:t>
      </w:r>
    </w:p>
    <w:p>
      <w:pPr>
        <w:ind w:left="720" w:right="7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cybersecurity incidents may negatively impact our business and our relationships with customers, vendors and employees and expose us to increased liability.</w:t>
      </w:r>
    </w:p>
    <w:p>
      <w:pPr>
        <w:ind w:left="720" w:right="79" w:hanging="319"/>
        <w:spacing w:after="0" w:line="29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regulatory focus on privacy and data protection issues and expanding laws could negatively impact our business, subject us to criticism and expose us to increased liability.</w:t>
      </w:r>
    </w:p>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Legal, Regulatory and Compliance Risks</w:t>
      </w:r>
    </w:p>
    <w:p>
      <w:pPr>
        <w:spacing w:after="0" w:line="225" w:lineRule="exact"/>
        <w:rPr>
          <w:sz w:val="20"/>
          <w:szCs w:val="20"/>
          <w:color w:val="auto"/>
        </w:rPr>
      </w:pPr>
    </w:p>
    <w:p>
      <w:pPr>
        <w:ind w:left="720" w:right="79" w:hanging="319"/>
        <w:spacing w:after="0" w:line="268"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environmental, health and safety laws and regulations, as well as contractual obligations that may result in significant liabilities.</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79"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sustainability growth strategy includes significant planned and ongoing investments in our WM Renewable Energy segment; changes to federal and state renewable fuel policies could affect our financial performance, and such investments may not yield the results anticipated.</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right="79" w:hanging="319"/>
        <w:spacing w:after="0" w:line="268"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change, and the adoption of climate change legislation or regulations restricting emissions of greenhouse gases, could increase our costs to operate.</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an effective system of internal control over financial reporting, due to technology issues, difficulties integrating Stericycle’s operations and systems, or otherwise, could adversely affect our ability to provide accurate and timely financial statements, which may harm our business and reputation.</w:t>
      </w:r>
    </w:p>
    <w:p>
      <w:pPr>
        <w:ind w:left="720" w:right="7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significant fines and penalties, and our reputation could be adversely affected, if we or third parties with whom we have a relationship fail to comply with U.S. or foreign laws or regulations.</w:t>
      </w:r>
    </w:p>
    <w:p>
      <w:pPr>
        <w:ind w:left="720" w:right="79" w:hanging="319"/>
        <w:spacing w:after="0" w:line="29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pending or future litigation or governmental proceedings could result in material adverse consequences, including judgments or settlements.</w:t>
      </w:r>
    </w:p>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Financial Risks</w:t>
      </w:r>
    </w:p>
    <w:p>
      <w:pPr>
        <w:spacing w:after="0" w:line="225" w:lineRule="exact"/>
        <w:rPr>
          <w:sz w:val="20"/>
          <w:szCs w:val="20"/>
          <w:color w:val="auto"/>
        </w:rPr>
      </w:pPr>
    </w:p>
    <w:p>
      <w:pPr>
        <w:ind w:left="720" w:right="79" w:hanging="319"/>
        <w:spacing w:after="0" w:line="268"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requirements and our business strategy could increase our expenses, cause us to change our growth and development plans, or result in an inability to maintain our desired credit profile.</w:t>
      </w:r>
    </w:p>
    <w:p>
      <w:pPr>
        <w:spacing w:after="0" w:line="1"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costs of obtaining adequate financial assurance, or the inadequacy of our insurance coverages, could negatively impact our liquidity and increase our liabilities.</w:t>
      </w: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record material charges against our earnings due to impairments to our assets.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significant liabilities for withdrawal from multiemployer pension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and all operations are conducted by subsidiaries.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800 Capitol Street, Suite 3000,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recycling and resource recovery services. Through our subsidiaries, including our Waste Management Renewable Energy (“WM Renewable Energy”) segment, we are also a leading developer, operator and owner of landfill gas-to-energy facilities in the U.S. and Canada that produce renewable electricity and renewable natural gas, which is a significant source of fuel that we allocate to our natural gas fleet. During 2024, our largest customer represented less than 5% of annual revenues.</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212529"/>
        </w:rPr>
        <w:t xml:space="preserve">On November 4, 2024, we completed our acquisition of all outstanding shares of Stericycle, Inc. (“Stericycle”),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operations of which are presented in this report as our new WM Healthcare Solutions segment. The acquisition expands our offerings in the U.S. and Canada and adds operations in parts of Western Europe. These businesses provide Regulated Waste and Compliance Services (“RWCS”) and Secure Information Destruction (“SID”) services that protect people and brands, promote health and well-being and safeguard the environment. Stericycle operates out of approximately 361 leased and owned facilities worldwide with 69 autoclaves or alternative medical waste treatment facilities, 18 medical waste incinerator facilities, 107 SID processing facilities, and 167 transfer stations. Included within our WM Healthcare Solutions segment are 35 locations that are classified as held for sale as of December 31, 2024. </w:t>
      </w:r>
      <w:r>
        <w:rPr>
          <w:rFonts w:ascii="Times New Roman" w:cs="Times New Roman" w:eastAsia="Times New Roman" w:hAnsi="Times New Roman"/>
          <w:sz w:val="18"/>
          <w:szCs w:val="18"/>
          <w:color w:val="212529"/>
        </w:rPr>
        <w:t>The acquisition is discussed further in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Note 17 to the Consolidated Financial Statements.</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own or operate 262 landfill sites, which is the largest network of landfills throughout the U.S. and Canada. In order to make disposal more practical for larger urban markets, where the distance to landfills is typically farther, we manage 339 transfer stations, excluding those acquired from Stericycle, that consolidate, compact and transport waste efficiently and economically. We also use waste to create energy, recovering the gas produced naturally as waste decomposes in landfills and using the gas in generators to make electricity. We are a leading recycler in the U.S. and Canada, handling materials that include cardboard, paper, glass, plastic and metal. We provide cost-efficient, environmentally sound recycling programs for municipalities, businesses and households across the U.S. and Canada as well as other services that supplement our solid waste business.</w:t>
      </w:r>
    </w:p>
    <w:p>
      <w:pPr>
        <w:spacing w:after="0" w:line="19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to drive our mission to maximize resource value, while minimizing environmental</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impact, and sustainability and environmental stewardship is embedded in all that we do.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that investing in automation to improve processes and drive operational efficiency combined with a focus on the cost to serve our customers will yield an attractive profit margin and enhanced service quality. We are furthering our strategy of focused differentiation and continuous improvement beyond our traditional waste operations through our sustainability growth strategy that includes significant planned investments in our WM Renewable Energy and Recycling Processing and Sales segments, while increasing automation and reducing labor dependency. In addition, with our acquisition of Stericycle, we have advanced our growth strategy and built upon our sustainability initiatives. The acquisition provides a complementary business platform in medical waste, a sector with attractive near- and long-term growth dynamics, and in secure information destruction services to further our leading suite of comprehensive waste and environmental solutions. Furthermore, we are also evaluating and pursuing emerging diversion technologies that may generate additional value.</w:t>
      </w:r>
    </w:p>
    <w:p>
      <w:pPr>
        <w:spacing w:after="0" w:line="196" w:lineRule="exact"/>
        <w:rPr>
          <w:sz w:val="20"/>
          <w:szCs w:val="20"/>
          <w:color w:val="auto"/>
        </w:rPr>
      </w:pPr>
    </w:p>
    <w:p>
      <w:pPr>
        <w:jc w:val="both"/>
        <w:ind w:left="60" w:right="59" w:firstLine="324"/>
        <w:spacing w:after="0" w:line="242" w:lineRule="auto"/>
        <w:rPr>
          <w:sz w:val="20"/>
          <w:szCs w:val="20"/>
          <w:color w:val="auto"/>
        </w:rPr>
      </w:pPr>
      <w:r>
        <w:rPr>
          <w:rFonts w:ascii="Times New Roman" w:cs="Times New Roman" w:eastAsia="Times New Roman" w:hAnsi="Times New Roman"/>
          <w:sz w:val="18"/>
          <w:szCs w:val="18"/>
          <w:color w:val="auto"/>
        </w:rPr>
        <w:t>Our Company’s goals are targeted at putting our people first, positioning them to serve and care for our customers, the environment, the communities in which we work and our stockholders. Our brand promise is ALWAYS WORKING FOR A SUSTAINABLE TOMORROW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live this promise through our service offerings and sustainable solutions, our investments in innovation, our people and our commitment to the future. Through our longtime focus on finding sustainable solutions, we continue to evolve beyond being a traditional environmental waste services company. Increasingly, our industry-leading focus on environmental sustainability aligns with demand from our customers who want more of their waste materials recovered. Waste streams are becoming more complex, and our aim is to address current needs, while anticipating the expanding and evolving needs of our customers. We believe we are uniquely equipped to meet the challenges of the changing waste industry and our customers’ waste management needs, both today and tomorrow as we work together to envision and create a more sustainable future.</w:t>
      </w:r>
    </w:p>
    <w:p>
      <w:pPr>
        <w:spacing w:after="0" w:line="19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believe that execution of our strategy will deliver shareholder value and leadership in a dynamic industry and in any economic environment. In addition, we intend to continue to return value to our stockholders through dividend payments and expect to resume share repurchases once the Company’s leverage returns to targeted levels, which is currently projected to be about 18 months after the November 2024 acquisition of Stericycle. In December 2024, we announced that our Board of Directors expects to increase the quarterly dividend from $0.75 to $0.825 per share for dividends declared in 2025, which is a 10% increase from the quarterly dividends we declared in 2024. This is an indication of our ability to generate strong and consistent cash flows and marks the 22nd consecutive year of dividend increases. All quarterly dividends will be declared at the discretion of our Board of Directors and depend on various factors, including our net earnings, financial condition, cash required for future business plans, growth and acquisitions and other factors the Board of Directors may deem relevant.</w:t>
      </w:r>
    </w:p>
    <w:p>
      <w:pPr>
        <w:spacing w:after="0" w:line="190" w:lineRule="exact"/>
        <w:rPr>
          <w:sz w:val="20"/>
          <w:szCs w:val="20"/>
          <w:color w:val="auto"/>
        </w:rPr>
      </w:pPr>
    </w:p>
    <w:p>
      <w:pPr>
        <w:jc w:val="center"/>
        <w:ind w:right="8039"/>
        <w:spacing w:after="0"/>
        <w:rPr>
          <w:sz w:val="20"/>
          <w:szCs w:val="20"/>
          <w:color w:val="auto"/>
        </w:rPr>
      </w:pPr>
      <w:r>
        <w:rPr>
          <w:rFonts w:ascii="Times New Roman" w:cs="Times New Roman" w:eastAsia="Times New Roman" w:hAnsi="Times New Roman"/>
          <w:sz w:val="17"/>
          <w:szCs w:val="17"/>
          <w:b w:val="1"/>
          <w:bCs w:val="1"/>
          <w:color w:val="auto"/>
        </w:rPr>
        <w:t>Operations</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five reportable segments, referred to as (i) Collection and Disposal - East Tier (“East Tier”); (ii) Collection and Disposal - West Tier (“West Tier”); (iii) Recycling Processing and Sales, (iv) WM Renewable Energy and (v) WM Healthcare Solutions. Our East and West Tiers along with certain ancillary services (“Other Ancillary”) that are not managed through our Tier segments, but that support our collection and disposal operations, form our “Collection and Disposal” businesses.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East Tier primarily consists of geographic areas located in the Eastern U.S., the Great Lakes region and substantially all of Canada. Our West Tier primarily includes geographic areas located in the Western U.S., including the upper Midwest region and British Columbia, Canada.</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also provide additional services not managed through our five reportable segments, which are presented as Corporate and Other. For further discussion refer to Note 19 of our Consolidated Financial Statements.</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Collection and Disposal</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Services provided through our Collection and Disposal businesses are described below:</w:t>
      </w:r>
    </w:p>
    <w:p>
      <w:pPr>
        <w:spacing w:after="0" w:line="223"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Collection. </w:t>
      </w:r>
      <w:r>
        <w:rPr>
          <w:rFonts w:ascii="Times New Roman" w:cs="Times New Roman" w:eastAsia="Times New Roman" w:hAnsi="Times New Roman"/>
          <w:sz w:val="18"/>
          <w:szCs w:val="18"/>
          <w:color w:val="auto"/>
        </w:rPr>
        <w:t>Our commitment to customers begins with a vast waste collection network. Collection involves picking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transporting waste and recyclable materials from where it was generated to a transfer station, recycling facility or disposal site. We generally provide collection services under one of two types of arrangements:</w:t>
      </w:r>
    </w:p>
    <w:p>
      <w:pPr>
        <w:spacing w:after="0" w:line="175" w:lineRule="exact"/>
        <w:rPr>
          <w:sz w:val="20"/>
          <w:szCs w:val="20"/>
          <w:color w:val="auto"/>
        </w:rPr>
      </w:pPr>
    </w:p>
    <w:p>
      <w:pPr>
        <w:jc w:val="both"/>
        <w:ind w:left="720" w:right="79" w:hanging="319"/>
        <w:spacing w:after="0" w:line="254"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commercial and industrial collection services, typically we have three-year service agreements. The fees under the agreements are influenced by factors such as collection frequency, type of collection equipment we furnish, type and volume or weight of the waste collected, distance to the disposal facility, labor costs,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into a disposal site. By using these containers, we can service most of our commercial and industrial customers with trucks operated by only one employee.</w:t>
      </w:r>
    </w:p>
    <w:p>
      <w:pPr>
        <w:spacing w:after="0" w:line="83"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most residential collection services, we have a contract with, or a franchise granted by, a municipality, homeowners’ association or some other regional authority that gives us the exclusive right to service all or a portion of the homes in an area. These contracts or franchises are typically for periods of three to ten years and typically mirror maximum terms as allowed by statutes by state. We also provide services under individual monthly subscriptions directly to households. The fees for residential collection are either paid by the municipality or authority from their tax revenues or service charges, or are paid directly by the residents receiving the service. The Company is generally phasing out traditional manual systems and moving to further automate residential collection services. Benefits of automation include enhanced worker safety, improved service delivery to the customer and an overall reduction in the cost to provide services.</w:t>
      </w:r>
    </w:p>
    <w:p>
      <w:pPr>
        <w:spacing w:after="0" w:line="18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Landfill. </w:t>
      </w:r>
      <w:r>
        <w:rPr>
          <w:rFonts w:ascii="Times New Roman" w:cs="Times New Roman" w:eastAsia="Times New Roman" w:hAnsi="Times New Roman"/>
          <w:sz w:val="18"/>
          <w:szCs w:val="18"/>
          <w:color w:val="auto"/>
        </w:rPr>
        <w:t>Landfills are the main depositories for solid waste in North America. As of December 31, 2024, we owned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operated 257 solid waste landfills and five secure hazardous waste landfills, which represents the largest network of landfills throughout the U.S. and Canada. As of December 31, 2024, we owned or controlled the management of 239 sites with remedial activities that are in closure or have received a certification of closure from the applicable regulatory agency. Solid waste landfills are constructed and operated on land with engineering safeguards that limit the possibility of water and air pollution and are operated under procedures prescribed by regulation. A landfill must meet federal, state or provincial and local regulations during its design, construction, operation and closure. The operation and closure activities of a solid waste landfill include excavation, construction of liners, continuous spreading and compacting of waste, covering of waste with earth or other acceptable material and constructing final capping of the landfill. These operations are carefully planned to maintain environmentally safe conditions and to maximize the use of the airspace.</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All solid waste management companies must have access to a disposal facility, such as a solid waste landfill. The significant capital requirements of developing and operating a landfill serve as a barrier to landfill ownership and, thus, third-party haulers often dispose of waste at our landfills.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our cost to construct, maintain and close the landfill, the distance to an alternative disposal facility, the type and weight or volume of solid waste deposited and competition.</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Under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 into inert materials that are no longer hazardous. Our hazardous waste landfills are sited, constructed and operated in a manner designed to provide long-term</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containment of waste. We also operate a hazardous waste facility at which we isolate treated hazardous waste in liquid form by injection into deep wells that have been drilled in certain acceptable geologic formations far below the base of fresh water to a point that is safely separated by other substantial geological confining layers.</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Included within our Collection and Disposal businesses are landfills having (i) 20 third-party power generating facilities converting our landfill gas to fuel electricity generators; (ii) 16 third-party renewable natural gas (“RNG”) facilities processing landfill gas to be sold to natural gas suppliers and (iii) six third-party projects delivering our landfill gas by pipeline to industrial customers as a direct substitute for fossil fuels in industrial processes. In return for providing our landfill gas, we receive royalties from each facility, including the benefit of a 15% royalty from our WM Renewable Energy segment based on net operating revenue generated through the sale of RNG, renewable identification numbers (“RINs”), electricity and capacity, Renewable Energy Credits (“RECs”) and related environmental attributes from the 84 landfill beneficial use renewable energy projects owned by WM Renewable Energy on our active landfills, which is eliminated in consolidation.</w:t>
      </w:r>
    </w:p>
    <w:p>
      <w:pPr>
        <w:spacing w:after="0" w:line="186"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w:t>
      </w:r>
      <w:r>
        <w:rPr>
          <w:rFonts w:ascii="Times New Roman" w:cs="Times New Roman" w:eastAsia="Times New Roman" w:hAnsi="Times New Roman"/>
          <w:sz w:val="18"/>
          <w:szCs w:val="18"/>
          <w:color w:val="auto"/>
        </w:rPr>
        <w:t>As of December 31, 2024, we owned or operated 339 transfer stations in the U.S. and Canada. We deposit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waste at these stations, as do other waste haulers. The solid waste is then consolidated and compacted to reduce the volume and increase the density of the waste and transported by transfer trucks or by rail to disposal sites.</w:t>
      </w:r>
    </w:p>
    <w:p>
      <w:pPr>
        <w:spacing w:after="0" w:line="17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Access to transfer stations is critical to haulers who collect waste in areas not in close proximity to disposal facilities. Fees charged to third parties at transfer stations are usually based on the type and volume or weight of the waste deposited at the transfer station, the distance to the disposal site, market rates for disposal costs and other general market factors.</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utilization of our transfer stations by our own collection operations improves internalization by allowing us to retain fees that we would otherwise pay to third parties for the disposal of the waste we collect. It enables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network of operations and (iii) we can retain the volume by managing the transfer of the waste to one of our own disposal sites.</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transfer stations that we operate but do not own generally are operated through lease agreements under which we lease property from third parties. There are some instances where transfer stations are operated under contract, generally for municipalities. In most cases, we own the permits and will be responsible for any regulatory requirements relating to the operation and closure of the transfer station.</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Other businesses providing collection and disposal services include the following:</w:t>
      </w:r>
    </w:p>
    <w:p>
      <w:pPr>
        <w:spacing w:after="0" w:line="22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Strategic Business Solutions (“WMSBS”) </w:t>
      </w:r>
      <w:r>
        <w:rPr>
          <w:rFonts w:ascii="Times New Roman" w:cs="Times New Roman" w:eastAsia="Times New Roman" w:hAnsi="Times New Roman"/>
          <w:sz w:val="18"/>
          <w:szCs w:val="18"/>
          <w:color w:val="auto"/>
        </w:rPr>
        <w:t>— Although many waste management services such as collection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disposal are local services, our WMSBS business works with customers whose locations span the U.S. and Canada. Our strategic accounts program provides these customers with streamlined service, enhanced reporting, measurement tools aimed at meeting sustainability objectives and centralized billing and management of accounts.</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Sustainability and Environmental Solutions (“SES”) </w:t>
      </w:r>
      <w:r>
        <w:rPr>
          <w:rFonts w:ascii="Times New Roman" w:cs="Times New Roman" w:eastAsia="Times New Roman" w:hAnsi="Times New Roman"/>
          <w:sz w:val="18"/>
          <w:szCs w:val="18"/>
          <w:color w:val="auto"/>
        </w:rPr>
        <w:t>— Our SES business collaborates with our geographic areas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accounts sales team to offer our customers end-to-end solutions that help businesses achieve their sustainability, recycling and waste diversion goals while meeting industry-specific compliance requirements and rising environmental demands. These solutions include (i) Sustainability Services, where our employees provide full-service waste management solutions and advisory services, working full-time onsite at our customers’ facilities or through remote-managed programs (this service is managed through our SES business but reflected principally in our collection line of business);</w:t>
      </w:r>
    </w:p>
    <w:p>
      <w:pPr>
        <w:spacing w:after="0" w:line="2" w:lineRule="exact"/>
        <w:rPr>
          <w:sz w:val="20"/>
          <w:szCs w:val="20"/>
          <w:color w:val="auto"/>
        </w:rPr>
      </w:pPr>
    </w:p>
    <w:p>
      <w:pPr>
        <w:jc w:val="both"/>
        <w:ind w:left="60" w:right="59" w:hanging="10"/>
        <w:spacing w:after="0" w:line="252" w:lineRule="auto"/>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remediation and construction services; (iii) management and marketing of fly ash, which is residue generated from the combustion of coal to generate electricity; and (iv) industrial waste services, which uses thermal and mechanical separation technologies to minimize waste volumes and recover commodities at the point of generation. The breadth of these service offerings, combined with our large and expanding network of technology-enabled infrastructure in recycling, organics and renewable energy give us the ability to help customers reduce the amount of waste they generate, identify recycling opportunities and determine efficient and environmentally friendly means for waste collection and disposal. Through these services, we aim to help customers increase circularity and accelerate their decarbonization goals.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Recycling Processing and Sales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Recycling involves the separation of reusable materials from the waste stream for processing and resale or other disposition. We are North America’s leading recycler of post-consumer materials. We not only collect materials from households and businesses across the U.S. and Canada, we also process and sell them to manufacturers to be recycled and sold generally within the North American market. Demand for recycled materials is generally growing. Several states have recently passed minimum-recycled-content mandates, and many companies are responding to requirements for recycled content from their own customers and to meet sustainability targets. We are helping expand the availability of recycled materials by investing in infrastructure, increasing access to recycling services and educating customers through our Recycle Right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program.</w:t>
      </w:r>
    </w:p>
    <w:p>
      <w:pPr>
        <w:spacing w:after="0" w:line="7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recycling operations provide communities and businesses with an alternative to traditional landfill disposal and support our strategic goals to extract more value from the materials we manage. We were the first major solid waste company to focus on residential single-stream recycling, which allows customers to mix clean bottles, cans, paper and cardboard in one bin. Residential single-stream programs have greatly increased recycling volumes. Single-stream recycling is possible through the use of various mechanized screens and optical sorting technologies. In addition to advancing our single stream recycling programs for commercial applications, we continue to invest in recycling technologies and businesses designed to offer services and solutions to support and grow our current operations. We are investing in enhanced recycling facility technology at new and existing facilities to benefit labor productivity, support increased recycling capacity and allow for dynamic adjustments to respond to evolving end-market demands. In 2023 and 2024, we opened eight and three new recycling facilities, respectively, within the U.S. and Canada equipped with advanced recycling technology. We continue to invest in recycling facility automation and new markets across the U.S. and Canada. Our Recycling Processing and Sales segment includes the following:</w:t>
      </w:r>
    </w:p>
    <w:p>
      <w:pPr>
        <w:spacing w:after="0" w:line="188" w:lineRule="exact"/>
        <w:rPr>
          <w:sz w:val="20"/>
          <w:szCs w:val="20"/>
          <w:color w:val="auto"/>
        </w:rPr>
      </w:pPr>
    </w:p>
    <w:p>
      <w:pPr>
        <w:jc w:val="both"/>
        <w:ind w:left="38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Materials processing — </w:t>
      </w:r>
      <w:r>
        <w:rPr>
          <w:rFonts w:ascii="Times New Roman" w:cs="Times New Roman" w:eastAsia="Times New Roman" w:hAnsi="Times New Roman"/>
          <w:sz w:val="18"/>
          <w:szCs w:val="18"/>
          <w:color w:val="auto"/>
        </w:rPr>
        <w:t>Through our collection operations and third-party customer base, we collect recyclable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from residential, commercial and industrial customers and direct these materials to one of our recycling facilities for processing. As of December 31, 2024, we operated 105 recycling facilities, of which 45 are single stream, where cardboard, paper, glass, metals, plastics, construction and demolition materials and other recycling commodities are recovered for resale or redirected for other purposes.</w:t>
      </w:r>
    </w:p>
    <w:p>
      <w:pPr>
        <w:spacing w:after="0" w:line="183" w:lineRule="exact"/>
        <w:rPr>
          <w:sz w:val="20"/>
          <w:szCs w:val="20"/>
          <w:color w:val="auto"/>
        </w:rPr>
      </w:pPr>
    </w:p>
    <w:p>
      <w:pPr>
        <w:jc w:val="both"/>
        <w:ind w:left="38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Recycling commodities — </w:t>
      </w:r>
      <w:r>
        <w:rPr>
          <w:rFonts w:ascii="Times New Roman" w:cs="Times New Roman" w:eastAsia="Times New Roman" w:hAnsi="Times New Roman"/>
          <w:sz w:val="18"/>
          <w:szCs w:val="18"/>
          <w:color w:val="auto"/>
        </w:rPr>
        <w:t>We market and resell recycling commodities globally. We manage the marketing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recycling commodities that are processed in our facilities by continuously analyzing market prices, logistics, market demands and product quality through our dedicated recycling service centers and account managers.</w:t>
      </w:r>
    </w:p>
    <w:p>
      <w:pPr>
        <w:spacing w:after="0" w:line="173" w:lineRule="exact"/>
        <w:rPr>
          <w:sz w:val="20"/>
          <w:szCs w:val="20"/>
          <w:color w:val="auto"/>
        </w:rPr>
      </w:pPr>
    </w:p>
    <w:p>
      <w:pPr>
        <w:jc w:val="both"/>
        <w:ind w:left="38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Recycling brokerage services </w:t>
      </w:r>
      <w:r>
        <w:rPr>
          <w:rFonts w:ascii="Times New Roman" w:cs="Times New Roman" w:eastAsia="Times New Roman" w:hAnsi="Times New Roman"/>
          <w:sz w:val="18"/>
          <w:szCs w:val="18"/>
          <w:color w:val="auto"/>
        </w:rPr>
        <w:t>— We also provide recycling brokerage services, which involve managing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of recyclable materials for third parties. Our experience in managing recycling commodities for our own operations gives us the expertise needed to effectively manage volumes for third parties. Utilizing the resources and capabilities of our recycling service centers and account managers, we can assist customers in marketing and selling their recycling commodities with minimal capital requirements.</w:t>
      </w:r>
    </w:p>
    <w:p>
      <w:pPr>
        <w:spacing w:after="0" w:line="183" w:lineRule="exact"/>
        <w:rPr>
          <w:sz w:val="20"/>
          <w:szCs w:val="20"/>
          <w:color w:val="auto"/>
        </w:rPr>
      </w:pPr>
    </w:p>
    <w:p>
      <w:pPr>
        <w:jc w:val="both"/>
        <w:ind w:left="38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Organics processing and sales </w:t>
      </w:r>
      <w:r>
        <w:rPr>
          <w:rFonts w:ascii="Times New Roman" w:cs="Times New Roman" w:eastAsia="Times New Roman" w:hAnsi="Times New Roman"/>
          <w:sz w:val="18"/>
          <w:szCs w:val="18"/>
          <w:color w:val="auto"/>
        </w:rPr>
        <w:t>— We collect recyclable food and yard waste from commercial, residential,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industrial customers, and process these materials through a network of mulching, composting, CORe®, and anaerobic digestion facilities. As of December 31, 2024, we operated 49 organics recycling facilities and also partner with third-party processors. Our network of facilities utilizes, markets and sells products including mulch, compost, soil amendments, and renewable energy.</w:t>
      </w:r>
    </w:p>
    <w:p>
      <w:pPr>
        <w:spacing w:after="0" w:line="18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recyclable materials processed in our recycling facilities are received from various sources, including third parties and our own operations. In recent years, we have been focused on reducing dependency on market prices for recycled commodities by recovering our processing costs first. In our materials processing business, we have been transitioning our customer base over time from the traditional rebate model, where we paid suppliers for the inbound material, to a fee-for-service model that ensures the cost of processing the recyclable materials is covered along with an acceptable margin. With our current fee-for-service model, the pricing for these recyclable materials can either be a charge or “tip fee” when commodity pricing does not cover our cost to process the recyclable materials or a “rebate” when commodity pricing is higher than our processing costs and we are able to share this benefit with the customers generating recyclable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materials. In some cases, our pricing is based on fixed contractual rates or on defined minimum per-ton rates. Generally, this pricing also considers the price we receive for sales of processed goods, market conditions and transportation costs. As a result, changes in commodity prices for recycled materials also significantly affect the pricing to our suppliers. Depending on the key terms of the arrangement, these “rebates” are recorded as either operating expenses or a reduction in operating revenues within our Consolidated Statements of Operations. If the key terms result in a charge to the customer, the associated “tip fees” would be recorded as operating revenues within our Consolidated Statements of Operations.</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WM Renewable Energy</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develop, operate and promote projects for the beneficial use of landfill gas through our WM Renewable Energy segment. Landfill gas is produced naturally as waste decomposes in a landfill. The methane component of the landfill gas is a readily available, renewable energy source that can be gathered and used beneficially as an alternative to fossil fuel. The U.S. Environmental Protection Agency (“EPA”) endorses landfill gas as a renewable energy resource, in the same category as wind, solar and geothermal resources. As of December 31, 2024, we had 102 landfill gas beneficial use projects producing commercial quantities of methane gas at owned or operated landfills. For 65 of these projects, the processed gas is used to fuel electricity generators. The electricity is then sold to public utilities, municipal utilities or power cooperatives. For 23 of these projects, the gas is used at the landfill or delivered by pipeline to industrial customers as a direct substitute for fossil fuels in industrial processes. For 11 of these projects, the landfill gas is processed to pipeline quality RNG and then sold to natural gas suppliers. Additionally, three of these projects are on third-party landfills. The revenues from these facilities are primarily generated through the sale of RNG, RINs, electricity and capacity, heat and/or steam, RECs and related environmental attributes. WM Renewable Energy is charged a 15% royalty on net operating revenue from these facilities residing on our active and closed landfills from our Collection and Disposal and Corporate and Other businesses, which is eliminated in consolidation. Additionally, WM Renewable Energy operates and maintains seven third-party landfill beneficial gas use projects in return for service revenue. Our Collection and Disposal and Corporate and Other businesses benefit from these projects as well as 52 additional third-party landfill beneficial gas use projects in the form of royalties.</w:t>
      </w:r>
    </w:p>
    <w:p>
      <w:pPr>
        <w:spacing w:after="0" w:line="19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WM Renewable Energy converts landfill gas into several sources of renewable energy, which include RNG, electricity and capacity, heat and/or steam. WM Renewable Energy also generates RINs under the Renewable Fuel Standard (“RFS”) program, other credits under a variety of state programs associated with the use of RNG in our compressed natural gas fleet, and RECs associated with the production of electricity. The RINs, RECs and other credits are sold to counterparties who are obligated under the regulatory programs and have a responsibility to procure RINs, RECs and other credits proportionate to their fossil fuel production and imports. RINs and RECs prices generally respond to regulations enacted by the EPA or other regulatory bodies, as well as fluctuations in supply and demand.</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WM Healthcare Solutions</w:t>
      </w:r>
    </w:p>
    <w:p>
      <w:pPr>
        <w:spacing w:after="0" w:line="229" w:lineRule="exact"/>
        <w:rPr>
          <w:sz w:val="20"/>
          <w:szCs w:val="20"/>
          <w:color w:val="auto"/>
        </w:rPr>
      </w:pPr>
    </w:p>
    <w:p>
      <w:pPr>
        <w:jc w:val="both"/>
        <w:ind w:left="60" w:right="59" w:firstLine="162"/>
        <w:spacing w:after="0" w:line="258" w:lineRule="auto"/>
        <w:rPr>
          <w:sz w:val="20"/>
          <w:szCs w:val="20"/>
          <w:color w:val="auto"/>
        </w:rPr>
      </w:pPr>
      <w:r>
        <w:rPr>
          <w:rFonts w:ascii="Times New Roman" w:cs="Times New Roman" w:eastAsia="Times New Roman" w:hAnsi="Times New Roman"/>
          <w:sz w:val="18"/>
          <w:szCs w:val="18"/>
          <w:color w:val="auto"/>
        </w:rPr>
        <w:t>Our WM Healthcare Solutions segment, through our subsidiary Stericycle, is primarily a business-to-business company providing RWCS and SID services that protect people and brands, promote health and well-being and safeguard the environment. WM Healthcare Solutions serves customers in the U.S., Canada and Western Europe with solutions to safely manage materials that could otherwise spread disease, contaminate the environment, or compromise one’s identity. Services provided through our WM Healthcare Solutions segment includes the following:</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Regulated Waste and Compliance Services</w:t>
      </w:r>
    </w:p>
    <w:p>
      <w:pPr>
        <w:spacing w:after="0" w:line="173" w:lineRule="exact"/>
        <w:rPr>
          <w:sz w:val="20"/>
          <w:szCs w:val="20"/>
          <w:color w:val="auto"/>
        </w:rPr>
      </w:pPr>
    </w:p>
    <w:p>
      <w:pPr>
        <w:jc w:val="both"/>
        <w:ind w:left="60" w:right="59" w:firstLine="162"/>
        <w:spacing w:after="0" w:line="281" w:lineRule="auto"/>
        <w:rPr>
          <w:sz w:val="20"/>
          <w:szCs w:val="20"/>
          <w:color w:val="auto"/>
        </w:rPr>
      </w:pPr>
      <w:r>
        <w:rPr>
          <w:rFonts w:ascii="Times New Roman" w:cs="Times New Roman" w:eastAsia="Times New Roman" w:hAnsi="Times New Roman"/>
          <w:sz w:val="18"/>
          <w:szCs w:val="18"/>
          <w:color w:val="auto"/>
        </w:rPr>
        <w:t>WM Healthcare Solutions includes compliance programs and collection, processing, and disposal of regulated and specialized waste, including medical, pharmaceutical and hazardous waste. RWCS are provided to customers in the U.S., Canada, Ireland and the United Kingdom (“U.K.”).</w:t>
      </w:r>
    </w:p>
    <w:p>
      <w:pPr>
        <w:spacing w:after="0" w:line="96" w:lineRule="exact"/>
        <w:rPr>
          <w:sz w:val="20"/>
          <w:szCs w:val="20"/>
          <w:color w:val="auto"/>
        </w:rPr>
      </w:pPr>
    </w:p>
    <w:p>
      <w:pPr>
        <w:jc w:val="both"/>
        <w:ind w:left="60" w:right="59" w:firstLine="162"/>
        <w:spacing w:after="0" w:line="297" w:lineRule="auto"/>
        <w:rPr>
          <w:sz w:val="20"/>
          <w:szCs w:val="20"/>
          <w:color w:val="auto"/>
        </w:rPr>
      </w:pPr>
      <w:r>
        <w:rPr>
          <w:rFonts w:ascii="Times New Roman" w:cs="Times New Roman" w:eastAsia="Times New Roman" w:hAnsi="Times New Roman"/>
          <w:sz w:val="18"/>
          <w:szCs w:val="18"/>
          <w:color w:val="auto"/>
        </w:rPr>
        <w:t>Regulated waste can be defined as any material subject to government-imposed guidelines for handling the material for transportation or disposal. Examples include medical waste, pathological waste, sharps and pharmaceutical waste.</w:t>
      </w:r>
    </w:p>
    <w:p>
      <w:pPr>
        <w:spacing w:after="0" w:line="93" w:lineRule="exact"/>
        <w:rPr>
          <w:sz w:val="20"/>
          <w:szCs w:val="20"/>
          <w:color w:val="auto"/>
        </w:rPr>
      </w:pPr>
    </w:p>
    <w:p>
      <w:pPr>
        <w:jc w:val="both"/>
        <w:ind w:left="60" w:right="59" w:firstLine="162"/>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Collection and Transportation </w:t>
      </w:r>
      <w:r>
        <w:rPr>
          <w:rFonts w:ascii="Times New Roman" w:cs="Times New Roman" w:eastAsia="Times New Roman" w:hAnsi="Times New Roman"/>
          <w:sz w:val="18"/>
          <w:szCs w:val="18"/>
          <w:color w:val="auto"/>
        </w:rPr>
        <w:t>— The collection process for regulated waste streams begins at the customer location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waste segregation. To assure regulatory compliance, we educate our customers and will not accept material from</w:t>
      </w:r>
    </w:p>
    <w:p>
      <w:pPr>
        <w:sectPr>
          <w:pgSz w:w="11900" w:h="16838" w:orient="portrait"/>
          <w:cols w:equalWidth="0" w:num="1">
            <w:col w:w="9019"/>
          </w:cols>
          <w:pgMar w:left="1440" w:top="607"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97" w:lineRule="auto"/>
        <w:rPr>
          <w:sz w:val="20"/>
          <w:szCs w:val="20"/>
          <w:color w:val="auto"/>
        </w:rPr>
      </w:pPr>
      <w:r>
        <w:rPr>
          <w:rFonts w:ascii="Times New Roman" w:cs="Times New Roman" w:eastAsia="Times New Roman" w:hAnsi="Times New Roman"/>
          <w:sz w:val="18"/>
          <w:szCs w:val="18"/>
          <w:color w:val="auto"/>
        </w:rPr>
        <w:t>customers unless it complies with our waste acceptance protocols and is properly stored or packaged in containers that we have either supplied or approved and is appropriately labeled.</w:t>
      </w:r>
    </w:p>
    <w:p>
      <w:pPr>
        <w:spacing w:after="0" w:line="95" w:lineRule="exact"/>
        <w:rPr>
          <w:sz w:val="20"/>
          <w:szCs w:val="20"/>
          <w:color w:val="auto"/>
        </w:rPr>
      </w:pPr>
    </w:p>
    <w:p>
      <w:pPr>
        <w:jc w:val="both"/>
        <w:ind w:left="60" w:right="59" w:firstLine="162"/>
        <w:spacing w:after="0" w:line="281" w:lineRule="auto"/>
        <w:rPr>
          <w:sz w:val="20"/>
          <w:szCs w:val="20"/>
          <w:color w:val="auto"/>
        </w:rPr>
      </w:pPr>
      <w:r>
        <w:rPr>
          <w:rFonts w:ascii="Times New Roman" w:cs="Times New Roman" w:eastAsia="Times New Roman" w:hAnsi="Times New Roman"/>
          <w:sz w:val="18"/>
          <w:szCs w:val="18"/>
          <w:color w:val="auto"/>
        </w:rPr>
        <w:t>Our team members then collect containers at the customer location via our fleet of vehicles. The majority of collected waste is then transported directly to one of our processing facilities or to one of our WM Healthcare Solutions transfer stations where waste is aggregated until it is transported to a processing facility.</w:t>
      </w:r>
    </w:p>
    <w:p>
      <w:pPr>
        <w:spacing w:after="0" w:line="94" w:lineRule="exact"/>
        <w:rPr>
          <w:sz w:val="20"/>
          <w:szCs w:val="20"/>
          <w:color w:val="auto"/>
        </w:rPr>
      </w:pPr>
    </w:p>
    <w:p>
      <w:pPr>
        <w:jc w:val="both"/>
        <w:ind w:left="60" w:right="59" w:firstLine="162"/>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Processing and Disposal of Regulated Waste </w:t>
      </w:r>
      <w:r>
        <w:rPr>
          <w:rFonts w:ascii="Times New Roman" w:cs="Times New Roman" w:eastAsia="Times New Roman" w:hAnsi="Times New Roman"/>
          <w:sz w:val="18"/>
          <w:szCs w:val="18"/>
          <w:color w:val="auto"/>
        </w:rPr>
        <w:t>— Upon arrival at a processing facility, containers or boxes of regulated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waste undergo a quality control process to verify that they do not contain any unacceptable substances. Any container or box that is discovered to contain unacceptable waste goes through a corrective action process which could include redirecting the waste, returning the waste to the customer and/or notifying the appropriate regulatory authorities. From there, regulated waste is processed using one of several treatments or processing technologies, predominantly at one of our facilities:</w:t>
      </w:r>
    </w:p>
    <w:p>
      <w:pPr>
        <w:spacing w:after="0" w:line="118" w:lineRule="exact"/>
        <w:rPr>
          <w:sz w:val="20"/>
          <w:szCs w:val="20"/>
          <w:color w:val="auto"/>
        </w:rPr>
      </w:pPr>
    </w:p>
    <w:p>
      <w:pPr>
        <w:ind w:left="880" w:right="79" w:hanging="317"/>
        <w:spacing w:after="0" w:line="284"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Autoclaving </w:t>
      </w:r>
      <w:r>
        <w:rPr>
          <w:rFonts w:ascii="Times New Roman" w:cs="Times New Roman" w:eastAsia="Times New Roman" w:hAnsi="Times New Roman"/>
          <w:sz w:val="18"/>
          <w:szCs w:val="18"/>
          <w:color w:val="auto"/>
        </w:rPr>
        <w:t>— Autoclaving is the primary method of regulated waste treatment. This process relies on steam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 temperature and pressure to kill pathogens and render materials non-infectious.</w:t>
      </w:r>
    </w:p>
    <w:p>
      <w:pPr>
        <w:spacing w:after="0" w:line="104" w:lineRule="exact"/>
        <w:rPr>
          <w:rFonts w:ascii="Times New Roman" w:cs="Times New Roman" w:eastAsia="Times New Roman" w:hAnsi="Times New Roman"/>
          <w:sz w:val="18"/>
          <w:szCs w:val="18"/>
          <w:color w:val="auto"/>
        </w:rPr>
      </w:pPr>
    </w:p>
    <w:p>
      <w:pPr>
        <w:jc w:val="both"/>
        <w:ind w:left="880" w:right="79" w:hanging="317"/>
        <w:spacing w:after="0" w:line="274"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Alternative Technologies </w:t>
      </w:r>
      <w:r>
        <w:rPr>
          <w:rFonts w:ascii="Times New Roman" w:cs="Times New Roman" w:eastAsia="Times New Roman" w:hAnsi="Times New Roman"/>
          <w:sz w:val="18"/>
          <w:szCs w:val="18"/>
          <w:color w:val="auto"/>
        </w:rPr>
        <w:t>— We use several different non-incineration alternatives to autoclaves, predominantly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outside of the U.S. The processes used by these technologies are similar to autoclaving, as the regulated waste is heated to a specified temperature for a required time to kill the pathogens and render materials non-infectious. Depending on local requirements, the waste may be shredded before or after treatment to render it unrecognizable.</w:t>
      </w:r>
    </w:p>
    <w:p>
      <w:pPr>
        <w:spacing w:after="0" w:line="114" w:lineRule="exact"/>
        <w:rPr>
          <w:rFonts w:ascii="Times New Roman" w:cs="Times New Roman" w:eastAsia="Times New Roman" w:hAnsi="Times New Roman"/>
          <w:sz w:val="18"/>
          <w:szCs w:val="18"/>
          <w:color w:val="auto"/>
        </w:rPr>
      </w:pPr>
    </w:p>
    <w:p>
      <w:pPr>
        <w:jc w:val="both"/>
        <w:ind w:left="880" w:right="79" w:hanging="317"/>
        <w:spacing w:after="0" w:line="268"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Incineration </w:t>
      </w:r>
      <w:r>
        <w:rPr>
          <w:rFonts w:ascii="Times New Roman" w:cs="Times New Roman" w:eastAsia="Times New Roman" w:hAnsi="Times New Roman"/>
          <w:sz w:val="18"/>
          <w:szCs w:val="18"/>
          <w:color w:val="auto"/>
        </w:rPr>
        <w:t>— While we strive to use alternative, non-incineration methods for treating medical waste,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incineration remains a regulatory requirement and/or a best practice in certain geographies or for certain types of medical waste that need to be chemically destroyed. Incineration burns regulated waste at elevated temperatures and reduces it to ash. Incineration reduces the volume of waste, and it is the recommended treatment and disposal option for some types of regulated waste such as anatomical waste, residues from chemotherapy procedures and non-hazardous pharmaceutical waste. Air emissions from incinerators can contain certain byproducts that are subject to federal, state and in some cases, local regulation. In some circumstances, the ash byproduct of incineration may be regulated.</w:t>
      </w:r>
    </w:p>
    <w:p>
      <w:pPr>
        <w:spacing w:after="0" w:line="124" w:lineRule="exact"/>
        <w:rPr>
          <w:sz w:val="20"/>
          <w:szCs w:val="20"/>
          <w:color w:val="auto"/>
        </w:rPr>
      </w:pPr>
    </w:p>
    <w:p>
      <w:pPr>
        <w:jc w:val="both"/>
        <w:ind w:left="60" w:right="59" w:firstLine="162"/>
        <w:spacing w:after="0" w:line="274" w:lineRule="auto"/>
        <w:rPr>
          <w:sz w:val="20"/>
          <w:szCs w:val="20"/>
          <w:color w:val="auto"/>
        </w:rPr>
      </w:pPr>
      <w:r>
        <w:rPr>
          <w:rFonts w:ascii="Times New Roman" w:cs="Times New Roman" w:eastAsia="Times New Roman" w:hAnsi="Times New Roman"/>
          <w:sz w:val="18"/>
          <w:szCs w:val="18"/>
          <w:color w:val="auto"/>
        </w:rPr>
        <w:t>Upon completion of the treatment process, the resulting waste or incinerator ash is transported for disposal in a landfill owned by unaffiliated third parties or by the Company. Additionally, in several of our incineration facilities, primarily in the U.K., we use different types of waste-to-energy solutions as part of our processes.</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Secure Information Destruction</w:t>
      </w:r>
    </w:p>
    <w:p>
      <w:pPr>
        <w:spacing w:after="0" w:line="173" w:lineRule="exact"/>
        <w:rPr>
          <w:sz w:val="20"/>
          <w:szCs w:val="20"/>
          <w:color w:val="auto"/>
        </w:rPr>
      </w:pPr>
    </w:p>
    <w:p>
      <w:pPr>
        <w:jc w:val="both"/>
        <w:ind w:left="60" w:right="59" w:firstLine="162"/>
        <w:spacing w:after="0" w:line="274" w:lineRule="auto"/>
        <w:rPr>
          <w:sz w:val="20"/>
          <w:szCs w:val="20"/>
          <w:color w:val="auto"/>
        </w:rPr>
      </w:pPr>
      <w:r>
        <w:rPr>
          <w:rFonts w:ascii="Times New Roman" w:cs="Times New Roman" w:eastAsia="Times New Roman" w:hAnsi="Times New Roman"/>
          <w:sz w:val="18"/>
          <w:szCs w:val="18"/>
          <w:color w:val="auto"/>
        </w:rPr>
        <w:t>WM Healthcare Solutions also provides for the collection of personal and confidential information for secure destruction and recycling of sorted office paper. SID services are provided to customers in the U.S., Belgium, Canada, France, Germany, Ireland, Luxembourg, the Netherlands and the U.K.</w:t>
      </w:r>
    </w:p>
    <w:p>
      <w:pPr>
        <w:spacing w:after="0" w:line="115" w:lineRule="exact"/>
        <w:rPr>
          <w:sz w:val="20"/>
          <w:szCs w:val="20"/>
          <w:color w:val="auto"/>
        </w:rPr>
      </w:pPr>
    </w:p>
    <w:p>
      <w:pPr>
        <w:jc w:val="both"/>
        <w:ind w:left="60" w:right="59" w:firstLine="162"/>
        <w:spacing w:after="0" w:line="281" w:lineRule="auto"/>
        <w:rPr>
          <w:sz w:val="20"/>
          <w:szCs w:val="20"/>
          <w:color w:val="auto"/>
        </w:rPr>
      </w:pPr>
      <w:r>
        <w:rPr>
          <w:rFonts w:ascii="Times New Roman" w:cs="Times New Roman" w:eastAsia="Times New Roman" w:hAnsi="Times New Roman"/>
          <w:sz w:val="18"/>
          <w:szCs w:val="18"/>
          <w:color w:val="auto"/>
        </w:rPr>
        <w:t>We leverage a combination of off-site and on-site document destruction methods for one-time and recurring paper shredding. Our service offerings leverage cross-cut shredding technology to enhance the security level of destruction and can provide secure chain-of-custody and proof of service. Shredded paper is then sold as sorted office paper.</w:t>
      </w:r>
    </w:p>
    <w:p>
      <w:pPr>
        <w:spacing w:after="0" w:line="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also provide additional services that are not managed through our operating segments, which are presented in this report as Corporate and Other as they do not meet the criteria to be aggregated with other operating segments and do not meet the quantitative criteria to be separately reported. This includes the activities of our corporate office, including costs associated with our long-term incentive program, expanded service offerings and solutions (such as our investments in businesses and technologies that are designed to offer services and solutions ancillary or supplementary to our current operations) as well as our closed sites.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Included within our Corporate and Other businesses’ closed sites are (i) six third-party power generating facilities converting our landfill gas to fuel electricity generators; (ii) two third-party projects delivering our landfill gas by pipeline to industrial customers as a direct substitute for fossil fuels in industrial processes and (iii) two third-party RNG facilities processing landfill gas to be sold to natural gas suppliers in return for a royalty. Additionally, Corporate and Other benefits from a 15% royalty from our WM Renewable Energy segment based on net operating revenue generated through the sale of RNG, RINs, electricity and capacity, RECs and related environmental attributes from the 15 landfill beneficial use renewable energy projects owned by WM Renewable Energy on our closed sites, which is eliminated in consolidation.</w:t>
      </w:r>
    </w:p>
    <w:p>
      <w:pPr>
        <w:spacing w:after="0" w:line="189" w:lineRule="exact"/>
        <w:rPr>
          <w:sz w:val="20"/>
          <w:szCs w:val="20"/>
          <w:color w:val="auto"/>
        </w:rPr>
      </w:pPr>
    </w:p>
    <w:p>
      <w:pPr>
        <w:jc w:val="both"/>
        <w:ind w:left="60" w:right="79" w:firstLine="324"/>
        <w:spacing w:after="0" w:line="257" w:lineRule="auto"/>
        <w:rPr>
          <w:sz w:val="20"/>
          <w:szCs w:val="20"/>
          <w:color w:val="auto"/>
        </w:rPr>
      </w:pPr>
      <w:r>
        <w:rPr>
          <w:rFonts w:ascii="Times New Roman" w:cs="Times New Roman" w:eastAsia="Times New Roman" w:hAnsi="Times New Roman"/>
          <w:sz w:val="18"/>
          <w:szCs w:val="18"/>
          <w:color w:val="auto"/>
        </w:rPr>
        <w:t>We continue to invest in businesses and technologies that are designed to offer services and solutions ancillary or supplementary to our current operations. While most of these investments are in the form of minority equity stakes, they can also include joint ventures, joint development agreements or majority equity stakes. The solutions and services include</w:t>
      </w:r>
    </w:p>
    <w:p>
      <w:pPr>
        <w:spacing w:after="0" w:line="1" w:lineRule="exact"/>
        <w:rPr>
          <w:sz w:val="20"/>
          <w:szCs w:val="20"/>
          <w:color w:val="auto"/>
        </w:rPr>
      </w:pPr>
    </w:p>
    <w:p>
      <w:pPr>
        <w:jc w:val="both"/>
        <w:ind w:left="60" w:right="59" w:hanging="10"/>
        <w:spacing w:after="0" w:line="253" w:lineRule="auto"/>
        <w:tabs>
          <w:tab w:leader="none" w:pos="2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collection, processing and recycling; (ii) the development, operation and marketing of waste processing facilities and technologies; (iii) operation of RNG plants and (iv) the development and operation of organic recycling technologies. Furthermore, we continually scout, evaluate and run proof-of-concepts of innovative technologies within our core operations to improve safety, operational efficiencies and customer solutions.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encounter intense competition from governmental, quasi-governmental and private sources in all aspects of our operations. We principally compete with large national waste management companies, counties and municipalities that maintain their own waste collection and disposal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by-products and waste brokers that rely upon haulers in local markets to address customer needs.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Operating costs, disposal costs and collection fees vary widely throughout the geographic areas in which we operate. The prices that we charge are determined locally, and typically vary by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based on pricing and quality of service. We also compete for business based on breadth of service offerings. As companies, individuals and communities look for ways to be more sustainable, we are promoting our comprehensive services that go beyond our core business of collecting and disposing of waste in order to meet their needs.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 Trends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2024, we had approximately 61,700 full-time employees across the U.S., Canada, Western Europe, and India. Approximately 54,300 employees were located within the U.S. and 7,400 employees were located outside of the U.S. Approximately 8,400 employees were employed in administrative and sales positions with the remainder in operations. Approximately 9,900 of our employees are covered by collective bargaining agreements. Additional information about our workforce can be found in our 2024 Sustainability Report at sustainability.wm.com, which was issued prior to our acquisition of Stericycle and does not incorporate any aspects of the acquired operations. Our 2024 Sustainability Report does not constitute a part of, and is not incorporated by reference into, this report or any other report we file with (or furnish to) the SEC, whether made before or after the date of this Annual Report on Form 10-K.</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People First Commitment</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People First commitment means knowing that the daily contributions of our team members are what enable us to play a vital role in the communities we serve. Our success depends upon effective leadership, the contributions of each employee and our ability to give them the tools they need to safely execute their roles as well as to develop and excel in their careers. As our industry and workforce evolve, we are focused on our imperatives of keeping our employees safe, being an inclusive employer at all levels of our Company, managing employee turnover, increasing retention, succession planning and development, and supporting employee experience, ongoing cultural integration and knowledge transfer. We regularly focus on these objectives when managing our business.</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strive to be a workplace of choice through competitive pay, comprehensive benefits for long-term financial and personal health and opportunities for growth across our ranks. "We Are WM" is our Employer Value Proposition, grounded in our People First commitment and shared through a framework that enables us to demonstrate that we are (i) investing in our teams by providing comprehensive benefits; (ii) committed to the growth of our team by providing state-of-the-art trainings and our education benefit, Your Tomorrow, as further discussed under </w:t>
      </w: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left="60" w:right="59" w:hanging="10"/>
        <w:spacing w:after="0" w:line="253" w:lineRule="auto"/>
        <w:tabs>
          <w:tab w:leader="none" w:pos="3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essential and meaningful work and (iv) working for a sustainable tomorrow by leaving the world a better place than we found it. Being an employer of choice is critical to our efforts to attract and retain a high-quality workforce, while motivating us to sharpen our focus on our values that help us empower and develop good employees. By promoting from within and offering training and experiential opportunities, we help employees maximize their effectiveness and grow in their careers.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Safety as a Core Value</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Times New Roman" w:cs="Times New Roman" w:eastAsia="Times New Roman" w:hAnsi="Times New Roman"/>
          <w:sz w:val="17"/>
          <w:szCs w:val="17"/>
          <w:color w:val="auto"/>
        </w:rPr>
        <w:t>At the Company, safety is a core value, with no compromise. A large number of our employee population work as drivers, heavy equipment operators and sorters, which are essential jobs that carry inherent risks. For nearly 20 years, we have engaged employees on safety to continually improve our culture and performance. As part of those efforts, in 2023 we developed and implemented a new safety vision for WM, which seeks to ensure that our employees make health and safety the foundation of their work, guiding each step they take. Our safety commitment is to value every voice, protect our communities, and work to enable everyone to get home safe, every day. Employees learn safety best practices through new-hire training, onboarding programs and ongoing training. To build upon lessons learned in training, we conduct structured observations of frontline employees that cover all aspects of our collection and post-collection operations, including driving, loading, unloading, lifting and lowering and arriving prepared for work. In 2023, the Company announced a safety goal focused on reduction of our Total Recordable Incident Rate (“TRIR”) by 3% annually, targeting TRIR of 2.0 annually by 2030. TRIR measures the number of injuries occurring per 100 employees per year (number of injuries per 200,000 hours). Our TRIR as of December 31, 2024 was 3.23. While our overall results in 2024 did not demonstrate targeted progress toward the 2030 goal, we were able to determine that the number of incidents is meaningfully improving for our core operations, though these improvements have been offset by the impacts of acquisition activity as well as a significant reduction in work hours from an improvement in driver retention and operational efficiency. We often find that the discipline and culture of the Company benefit acquired businesses. Accordingly, while there can be short-term impacts from acquisitions on measures such as TRIR, we are confident that the time and resources dedicated to</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pursuing our safety commitment have us on track for continued progress in the years ahead. The Company reduced overall (5.8%), OSHA recordable (2.2%), and Lost Time (2.4%) injuries in 2024 and remains focused on the prevention of serious injuries.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Cultivating Belonging</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embrace and cultivate respect, trust, open communications and diversity of thought and people. We are committed to fostering an environment where all team members feel welcomed, valued and seen. Our commitment to a culture of belonging is reflected in the diverse backgrounds of our Board of Directors and senior leadership team and in our overall workforce in the U.S., which is comprised of individuals of all ethnicities and genders. Additional information about our workforce can be found in our 2024 Sustainability Report at sustainability.wm.com. We are proud of what we have been able to achieve so far, and we will continue to strive to further embed a culture of belonging within the Company. To enable us to achieve a workplace where all feel welcomed and valued, we are committed to evaluating our policies, practices and procedures, recruitment and partnerships to ensure that our efforts are fair, sustainable and tied to our business strategy.</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Learning and Development</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offer expansive learning and development solutions to meet the development needs of our people and support opportunities for growth and improvement. Our talent management strategy is designed to reach employees at all levels. Given the wide variety of employee roles and skill sets in our Company, our training and development programs are varied but generally fall into the following categories: (i) compliance, including Code of Conduct and cybersecurity training; (ii) safety; (iii) environmental excellence; (iv) professional development and leadership and (v) job-specific.</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objective of our compensation and benefit programs is to attract, engage, reward and incentivize valuable employees who will drive the successful execution of our strategy. We pay the full cost to provide employees with short-term disability benefits, long-term disability benefits, basic life insurance for the employee and their dependents, and employee and family assistance benefits. The costs for medical and dental coverage are shared with employees, with the Company paying for a majority of the premium expense. The Company offers other important benefits such as paid vacation and holidays, mental health services, legal services, flexible spending accounts, dependent care assistance, adoption assistance, employee discounts and student loan refinancing services. We also recognize the value of learning beyond the workplace. Our education benefit, Your Tomorrow, pays benefits-eligible employees’ and dependents’ tuition for a broad range of four-year college degree programs, as well as programs such as high-school equivalency and, for employees, other certificate programs and graduate degrees. We also provide plans to help employees save for their future for example, through our 401(k) retirement savings plan. Refer to Note 9 to the Consolidated Financial Statements for additional information on our employee benefit plans.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Assurance and Insurance Obligations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Financial Assurance</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Municipal and governmental waste service contracts generally require contracting parties to demonstrate financial responsibility for their obligations under the contract. Financial assurance is also a requirement for (i) obtaining or retaining disposal site or transfer station operating permits; (ii) supporting certain variable-rate tax-exempt debt and</w:t>
      </w:r>
    </w:p>
    <w:p>
      <w:pPr>
        <w:spacing w:after="0" w:line="1" w:lineRule="exact"/>
        <w:rPr>
          <w:sz w:val="20"/>
          <w:szCs w:val="20"/>
          <w:color w:val="auto"/>
        </w:rPr>
      </w:pPr>
    </w:p>
    <w:p>
      <w:pPr>
        <w:jc w:val="both"/>
        <w:ind w:left="60" w:right="59" w:hanging="10"/>
        <w:spacing w:after="0" w:line="253" w:lineRule="auto"/>
        <w:tabs>
          <w:tab w:leader="none" w:pos="3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final capping, closure, post-closure and environmental remedial obligations at many of our landfills. 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Surety bonds and insurance policies are supported by either (i) a diverse group of third-party surety and insurance companies; (ii) an entity in which we have a noncontrolling financial interest or (iii) a wholly-owned insurance captive, the sole business of which is to issue surety bonds and/or insurance policies on our behalf. Letters of credit generally are</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supported by our long-term U.S. and Canadian revolving credit facility (“$3.5 billion revolving credit facility”) and other credit lines established for that purpose.</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carry a broad range of insurance coverages, including health and welfare, 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and any amounts that exceed our insured limits. We use a wholly-owned insurance captive to insure the deductibles for our general liability, automobile liability and workers’ compensation claims programs. We do not expect the impact of any known casualty, property, environmental or other contingency to have a material impact on our financial condition, results of operations or cash flows. Our estimated insurance liabilities as of December 31, 2024 are summarized in Note 10 to the Consolidated Financial Statements.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business is subject to extensive and evolving laws and regulations pertaining to environmental protection, health, safety, land use, zoning, transportation, ethical business conduct, data privacy and security, and other related and similar subjects. These laws and regulations are administered by the EPA, Environment and Climate Change Canada (“ECCC”), and various other agencies at the federal, state, provincial, regional and local level in the U.S., Canada and other international jurisdictions in which we operate. Many of these agencies regularly examine our operations to monitor compliance with applicable laws and regulations and have the power to enforce compliance, obtain injunctions or impose civil or criminal penalties in cases of violations.</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business primarily involves the collection, transport, handling, treatment, destruction, and other processing and management of solid waste, medical waste, controlled substances waste, hazardous waste, organics, and recyclables in an environmentally sound manner. A significant amount of our capital expenditures is related, either directly or indirectly, to compliance with applicable laws and regulations, including environmental protection measures. With the acquisition of Stericycle, we have increased our exposure to international jurisdictions, primarily Western Europe, and we are subject to additional laws and regulations in the U.S. and internationally concerning transportation, management and disposal or destruction of medical waste streams, including regulations that govern the definition, generation, segregation, handling, packaging, transportation, treatment, storage and disposal or destruction of medical waste and controlled substances waste, along with extensive recordkeeping and documentation requirements. Additionally, Stericycle’s secure information destruction services are subject to additional laws and regulations regarding proper handling and protection of personal and confidential information.</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There are costs associated with siting, design, permitting, construction, operating, monitoring, site maintenance, corrective actions, financial assurance and closure and post-closure obligations at our facilities. In connection with the acquisition, development or expansion of a waste management or disposal facility, recycling facility, compost facility, transfer station, processing facility, or landfill gas-to-energy facility, or the transport, handling, treatment and disposal or destruction of various waste streams, we must often spend considerable time, effort and money to obtain and maintain required permits and approvals. There are no assurances that we will be able to obtain or maintain permits or other required governmental approvals. Once obtained, permits are subject to renewal, modification, suspension or revocation by the issuing authority. Permit issuance or renewal may also be subject to public participation or other governmental reviews and may be subject to challenges and delays. Compliance with current regulations and future requirements could require us to make significant capital and operating expenditures. However, most of these expenditures are made in the normal course of business and do not place us at a competitive disadvantage.</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regulatory environment in which we operate is influenced by changes in governmental administrations and leadership. The priorities set forth under the prior U.S. presidential administration, for example, were generally in favor of increasing regulation, while the new administration is generally anticipated to reverse course on many regulatory policies. The new administration has called for substantial changes to areas of foreign trade policy and has generally appeared to</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70" w:lineRule="auto"/>
        <w:rPr>
          <w:sz w:val="20"/>
          <w:szCs w:val="20"/>
          <w:color w:val="auto"/>
        </w:rPr>
      </w:pPr>
      <w:r>
        <w:rPr>
          <w:rFonts w:ascii="Times New Roman" w:cs="Times New Roman" w:eastAsia="Times New Roman" w:hAnsi="Times New Roman"/>
          <w:sz w:val="17"/>
          <w:szCs w:val="17"/>
          <w:color w:val="auto"/>
        </w:rPr>
        <w:t>be in favor of reducing regulation, including environmental regulation. We do not know what impact the change in U.S. presidential administration will have on specific regulatory policies impacting our industry and our Company, especially given the number of rules currently in litigation, nor can we predict the timing of any such changes. Reduction of regulation may have a favorable impact on our operating costs, but the extensive environmental regulation applicable to our industry is also a barrier to rapid entry that benefits our Company. Moreover, the risk reduction provided by appropriate regulation is valuable to our customers and the communities we serve. Significant new restrictions and tariffs on foreign trade could have a negative impact on our recycling export business and our cross-border commerce, particularly with Canada, and could increase the cost of certain equipment and other materials used in our operations that we procure from outside the U.S., including our trucks and certain equipment used to implement our sustainability growth strategy. It is likely that some policies adopted by the new administration will benefit us and others will negatively affect us.</w:t>
      </w:r>
    </w:p>
    <w:p>
      <w:pPr>
        <w:spacing w:after="0" w:line="17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2024, the U.S. Supreme Court issued a number of decisions that will affect the future of federal regulation, including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Loper</w:t>
      </w:r>
      <w:r>
        <w:rPr>
          <w:rFonts w:ascii="Times New Roman" w:cs="Times New Roman" w:eastAsia="Times New Roman" w:hAnsi="Times New Roman"/>
          <w:sz w:val="18"/>
          <w:szCs w:val="18"/>
          <w:color w:val="auto"/>
        </w:rPr>
        <w:t xml:space="preserve"> decision overturned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had held that a court must give deference to a regulatory agency’s reasonable interpretation of an ambiguous statute the agency implements. The full impact of that decision is not yet known, but at a minimum, our operations could face increased regulatory uncertainty in connection with legal challenges to agency actions and rulemakings impacting our industry.</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Federal Regulation</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Certain key U.S. federal statutes affecting our business are summarized below:</w:t>
      </w:r>
    </w:p>
    <w:p>
      <w:pPr>
        <w:spacing w:after="0" w:line="117" w:lineRule="exact"/>
        <w:rPr>
          <w:sz w:val="20"/>
          <w:szCs w:val="20"/>
          <w:color w:val="auto"/>
        </w:rPr>
      </w:pPr>
    </w:p>
    <w:p>
      <w:pPr>
        <w:jc w:val="both"/>
        <w:ind w:left="720" w:right="79" w:hanging="319"/>
        <w:spacing w:after="0" w:line="255"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 Conservation and Recovery Act of 1976 (“RCRA”), as amended, regulates handling, transporting and disposing of hazardous and non-hazardous waste and delegates authority to states to develop programs to ensure the safe disposal of solid waste. Landfills are regulated under Subtitle D of RCRA, which sets forth minimum federal performance and design criteria for solid waste landfills, and Subtitle C of RCRA, which establishes a federal program to manage hazardous wastes from cradle to grave. These regulations are typically implemented by the states, although states can impose requirements that are more stringent than the federal standards. We incur costs in complying with these standards in the ordinary course of our operations.</w:t>
      </w:r>
    </w:p>
    <w:p>
      <w:pPr>
        <w:spacing w:after="0" w:line="80"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Comprehensive Environmental Response, Compensation and Liability Act of 1980 (“CERCLA”), as amended,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 under CERCLA is not dependent on the intentional release of hazardous substances; it can be based upon the release or threatened release of hazardous substances, even resulting from lawful, unintentional and attentive action, as the term is defined by CERCLA and other applicable statutes and regulations. The EPA may issue orders requiring responsible parties to perform response actions at sites, or the EPA may seek recovery of funds expended or to be expended in the future at sites. Liability may include contribution for cleanup costs incurred by a defendant in a CERCLA civil action or by an entity that has previously resolved its liability to federal or state regulators in an administrative or judicially-approved settlement. Liability under CERCLA could also include obligations to a potentially responsible party (“PRP”) that voluntarily expends site clean-up costs. Further, liability for damage to publicly-owned natural resources may also be imposed. We are subject to potential liability under CERCLA as an owner or operator of facilities at which hazardous substances have been disposed and as a generator or transporter of hazardous substances disposed of at other locations.</w:t>
      </w:r>
    </w:p>
    <w:p>
      <w:pPr>
        <w:spacing w:after="0" w:line="85"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Water Pollution Control Act of 1972, as amended, known as the Clean Water Act, regulates the discharge of pollutants into streams, rivers, groundwater, or other surface waters from a variety of sources, including solid and hazardous waste disposal sites. If our operations discharge any pollutants into federally protected surface waters, the Clean Water Act requires us to apply for and obtain discharge permits, conduct sampling and monitoring, and, under certain circumstances, reduce the quantity of pollutants in those discharges. The EPA also requires landfills and other waste-handling facilities to obtain storm water discharge permits, and if a landfill or other facility discharges wastewater through a sewage system to a publicly-owned treatment works, the facility must comply with discharge limits imposed by the treatment works. Further, before the development or expansion of a landfill can alter or affect certain “wetlands,” a permit may have to be obtained providing for</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right="79"/>
        <w:spacing w:after="0" w:line="282" w:lineRule="auto"/>
        <w:rPr>
          <w:sz w:val="20"/>
          <w:szCs w:val="20"/>
          <w:color w:val="auto"/>
        </w:rPr>
      </w:pPr>
      <w:r>
        <w:rPr>
          <w:rFonts w:ascii="Times New Roman" w:cs="Times New Roman" w:eastAsia="Times New Roman" w:hAnsi="Times New Roman"/>
          <w:sz w:val="18"/>
          <w:szCs w:val="18"/>
          <w:color w:val="auto"/>
        </w:rPr>
        <w:t>mitigation or replacement wetlands. The Clean Water Act provides for civil, criminal and administrative penalties for violations of its provisions.</w:t>
      </w:r>
    </w:p>
    <w:p>
      <w:pPr>
        <w:spacing w:after="0" w:line="54" w:lineRule="exact"/>
        <w:rPr>
          <w:sz w:val="20"/>
          <w:szCs w:val="20"/>
          <w:color w:val="auto"/>
        </w:rPr>
      </w:pPr>
    </w:p>
    <w:p>
      <w:pPr>
        <w:jc w:val="both"/>
        <w:ind w:left="720" w:right="79" w:hanging="319"/>
        <w:spacing w:after="0" w:line="254"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Clean Air Act of 1970, as amended, provides for federal, state and local regulation of the emission of air pollutants. Many of our operations, including many municipal solid waste (“MSW”) landfills and landfill gas-to-energy facilities, are subject to regulations implemented under the Clean Air Act, including new source performance standards, emission guidelines and national emission standards for hazardous air pollutants. These regulations impose performance standards to minimize air emissions from regulated MSW landfills, subject those landfills to certain operating permit requirements under Title V of the Clean Air Act and, in many instances, require installation of landfill gas collection and control systems to control emissions or to treat and utilize landfill gas on- or off-site. Our vehicle fleet also must adhere to regulations implemented under the Clean Air Act, which authorizes the EPA to mandate controls on air pollution from mobile sources.</w:t>
      </w:r>
    </w:p>
    <w:p>
      <w:pPr>
        <w:spacing w:after="0" w:line="80"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Occupational Safety and Health Act of 1970, as amended,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personal protective equipment, safety in excavation and demolition work, exposure to bloodborne pathogens, and the handling of asbestos, may apply to our operations.</w:t>
      </w:r>
    </w:p>
    <w:p>
      <w:pPr>
        <w:spacing w:after="0" w:line="187"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Department of Transportation and the Occupational Safety and Health Administration, along with other federal agencies, have jurisdiction over certain aspects of hazardous materials and hazardous waste, including safety, movement and disposal. Certain waste (including medical waste) is subject to roadside inspections that have a cumulative effect on our compliance history and require us to remain in good standing so as not to jeopardize certain permits. Various state and local agencies with jurisdiction over disposal of hazardous and medical waste may seek to regulate movement of such materials in areas not otherwise preempted by federal law.</w:t>
      </w:r>
    </w:p>
    <w:p>
      <w:pPr>
        <w:spacing w:after="0" w:line="187"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 offerings for the collection, treatment, disposal and destruction of controlled substances waste and medical waste, from both the healthcare industry and individual consumers, are subject to numerous laws and regulations issued by various regulatory agencies, including the U.S. Drug Enforcement Administration (“DEA”). These regulations typically require our facilities to obtain licenses or registrations, and meet certain other requirements in order to collect, transport, treat and dispose of controlled substances. These regulations include significant requirements for security, recordkeeping and reporting. Registrations and licenses must be kept current, or periodically renewed, and facilities may be subject to inspection or enforcement.</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operations are primarily in the U.S.; however, Canada and other countries in which we operate have various environmental, safety, health, transportation and materials handling laws and regulations that we must comply with in the ordinary course of our business.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State, Provincial, Regional and Local Regulations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There are also various state, provincial, regional and local regulations, in the U.S. and internationally, that affect our operations and may require a specific operating plan. Many jurisdictions in which we operate have their own laws and regulations governing solid waste disposal, including for hazardous wastes, medical wastes and controlled substances wastes; water and air pollution; and, in most cases, releases and cleanup of hazardous substances and liabilities for such matters. Many governmental organizations have also adopted regulations governing the design, operation, maintenance and closure of landfills, transfer stations, incineration facilities and processing facilities, and laws governing where recyclable materials can be sold.</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landfill operations are affected by the increasing preference for alternatives to landfill disposal. Many state and local governments mandate recycling and waste reduction at the source and prohibit the disposal of certain types of materials at landfills, such as recyclable materials (cardboard, bottles and cans), yard waste, food waste and electronics. The number of governments with recycling and diversion requirements and disposal bans continues to grow, while the logistics and economics of recycling or processing many of these items remain challenging. In addition, regulations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requiring the diversion of organic wastes away from landfills could have the effect of decreasing the amount of landfill gas produced over time in our landfills, negatively impacting our WM Renewable Energy segment.</w:t>
      </w:r>
    </w:p>
    <w:p>
      <w:pPr>
        <w:spacing w:after="0" w:line="16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Various states have enacted, or are considering enacting, laws that restrict or discourage the disposal of solid waste generated outside the state. While laws that overtly discriminate against out-of-state waste have been found to be unconstitutional, some laws that are less overtly discriminatory have been upheld in court. From time to time, the U.S.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which has been upheld by the U.S. Supreme Court for waste directed to facilities owned by the local government. The U.S. Congress’ adoption of legislation allowing restrictions on interstate transportation of out-of-state or out-of-jurisdiction waste or certain types of flow control, or courts’ interpretations of interstate waste and flow control legislation, could adversely affect our solid waste, hazardous waste, medical waste and controlled substances management services.</w:t>
      </w:r>
    </w:p>
    <w:p>
      <w:pPr>
        <w:spacing w:after="0" w:line="19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Many governmental organizations have enacted “fitness” laws that allow the agencies that have jurisdiction over waste services contracts or permits to deny or revoke these contracts or permits based on the applicant’s or permit holder’s compliance history. Some governmental organizations also consider the compliance history of the parent, subsidiaries or affiliated companies, in addition to the applicant or permit holder. These laws authorize the agencies to make determinations of an applicant’s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 While fitness laws can present potential increased costs and barriers to entry into market areas, these laws have not, and are not expected to have a material adverse impact on our business as a whole.</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EPA does not regulate medical waste at the federal level, resulting in a lack of uniformity of applicable laws and regulations. States have adopted their own regulations related to the handling, treatment and storage of medical waste, with many states following requirements similar to the Medical Waste Tracking Act of 1988, a U.S. federal law concerning disposal of biological material that expired in 1991. Other states have placed medical waste regulations within solid waste regulations. Further, while the Canadian Council of Ministers of the Environment has promulgated the </w:t>
      </w:r>
      <w:r>
        <w:rPr>
          <w:rFonts w:ascii="Times New Roman" w:cs="Times New Roman" w:eastAsia="Times New Roman" w:hAnsi="Times New Roman"/>
          <w:sz w:val="18"/>
          <w:szCs w:val="18"/>
          <w:i w:val="1"/>
          <w:iCs w:val="1"/>
          <w:color w:val="auto"/>
        </w:rPr>
        <w:t>Guidelines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of Biomedical Waste in Canada</w:t>
      </w:r>
      <w:r>
        <w:rPr>
          <w:rFonts w:ascii="Times New Roman" w:cs="Times New Roman" w:eastAsia="Times New Roman" w:hAnsi="Times New Roman"/>
          <w:sz w:val="18"/>
          <w:szCs w:val="18"/>
          <w:color w:val="auto"/>
        </w:rPr>
        <w:t>, these are not enforceable unless adopted by provincial legislation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municipal by-laws, and local by-laws may be more stringent than such guidelines.</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 Developments and Focus Areas in Policy and Regulation</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Climate and Sustainability</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Jurisdictions are increasingly taking action to reduce greenhouse gas (“GHG”) emissions through a broad range of climate policies. Landfills are one of the focal points for advancing climate-related goals, and we are actively working with policymakers to promote recognition of the significant reductions in GHG emissions that our industry already has achieved and the work being done to further measure and reduce emissions, the challenges associated with quantifying landfill emissions precisely, and the role of our sector in providing an essential, and highly regulated, public service.</w:t>
      </w:r>
    </w:p>
    <w:p>
      <w:pPr>
        <w:spacing w:after="0" w:line="18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are closely monitoring the evolving capabilities of ground, aerial and satellite-based methane detection and monitoring systems and conducting our own research at several landfills to assess accuracy and reliability of various methane measurement technologies for applicability to our operations. We also continue to expand our work with various private and government entities employing such technologies at our sites, and we are actively engaged with the EPA, the ECCC, state agencies, nongovernmental organizations and environmental stakeholders on the implications of the changing landscape for the waste industry and potential future regulation. Continued dialogue, engagement and collaboration with these regulatory agencies will be important, as both the EPA and the ECCC are evaluating landfill emissions standards that may require the application of various emerging methane measurement technologies and plan to develop methods and standards for such measurement technologies. The EPA has indicated that methane emissions from landfills will remain a focus of its expanded National Enforcement and Compliance Initiatives through 2027 and has announced its intent to propose updated performance standards for new and existing landfills. While we cannot predict what regulations will result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from these initiatives, these developments could result in increased compliance costs and adversely affect our operations. Specifically, these various regulatory actions could result in changes to how we have historically reported GHG emissions and may result in increases in such emissions reported for our operations. For example, in August 2024, the EPA released revised emission factors for the reporting of methane emissions from landfills that would, amongst other matters, result in increased reported emissions from flares and other equipment and processes. Industry groups have filed legal challenges to the EPA’s updated emission factors.</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light of regulatory and business developments related to concerns about climate change, we have identified strategic business opportunities to provide our public and private sector customers with sustainability-related solutions intended to help reduce their carbon footprint. We assess customer demand for and opportunities to develop waste services with potential to avoid lifecycle emissions, such as waste reduction, increased recycling, composting and conversion of landfill gas and discarded materials into renewable energy. We use carbon lifecycle assessment tools in evaluating potential new services and in establishing the value proposition that makes us attractive as an environmental service provider. We are active in support of public policies that encourage development and use of lower carbon energy and waste services that can lower lifecycle carbon footprints. We understand the importance of broad stakeholder engagement in these endeavors and actively seek opportunities for public policy discussion on how materials management practices can be more sustainable. In addition, we work with stakeholders at the federal, state, and provincial level in support of legislation that encourages production and use of renewable, lower-carbon fuels and electricity.</w:t>
      </w:r>
    </w:p>
    <w:p>
      <w:pPr>
        <w:spacing w:after="0" w:line="192"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The nature, scope, and complexity of matters that our Company must assess, quantify and disclose are expanding due to current, proposed, and recently enacted governmental reporting requirements pertaining to sustainability and climate-related risks and other topics. Such topics include water usage, waste production, labor, human capital, environmental justice, cybersecurity, privacy and risk oversight. For example, in September 2024, the California Governor signed into law amendments to the 2023 California Climate Corporate Data Accountability Act and the Climate-Related Financial Risk Act, which among other things, requires the disclosure of Scope 1, 2, and 3 GHG emissions and other climate-related risks consistent with the framework established by the Task Force on Climate-Related Financial Disclosures. We will be required to begin making disclosures of our Scope 1 and 2 GHG emissions in compliance with certain of these requirements in 2026, and Scope 3 GHG emissions disclosures will be required beginning in 2027. Additional U.S. states are in various stages of considering adoption of similar GHG-related disclosure requirements. In March 2024, the SEC also adopted final rules that would require registrants to include certain climate-related disclosures in their registration statements and periodic reports including, but not limited to, information about our governance and management of climate-related risks and metrics pertaining to emissions data and climate-related targets and goals. The SEC voluntarily stayed implementation of these rules indefinitely, pending judicial review of ongoing legal challenges. Furthermore, beginning as early as 2026, we may be subject to certain reporting requirements in the European Union under the Corporate Sustainability Reporting Directive (“CSRD”), which requires in-scope companies to disclose extensive sustainability information, including risks and opportunities arising from environmental and social matters, and the impact of their business on people and the environment. These and other similar laws and regulations could result in increased compliance costs and affect the results of our operations and financial position. Such similar laws and regulations could also increase our litigation risks or may increase risks related to our reputation or goodwill, as we cannot predict how disclosures under these laws may be perceived or interpreted by our customers and stakeholders. Methodology and timelines for mandatory reporting requirements may be inconsistent with requirements enacted by other governmental entities, including with respect to measuring emissions and requiring a determination of “materiality” that may differ from traditional disclosure requirements under U.S. federal securities laws. Such inconsistency could further increase costs and divert management time and attention.</w:t>
      </w:r>
    </w:p>
    <w:p>
      <w:pPr>
        <w:spacing w:after="0" w:line="20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Our industry faces challenges to implement these rapidly developing disclosure requirements, as well as the risk of enforcement actions by governmental and regulatory agencies for noncompliance. Significant expenditures and commitment of time by management, employees and consultants is involved in developing, implementing and overseeing policies, practices, additional disclosures and internal controls related to environmental and sustainability risk and performance. Public statements with respect to sustainability matters are becoming increasingly subject to heightened scrutiny from public and governmental authorities related to the risk of potential “greenwashing,”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misleading information or false claims overstating potential sustainability benefits. We are aware that non-governmental organizations and other private actors have filed lawsuits against companies under various securities and consumer protection laws alleging that certain sustainability-related statements, goals or standards were misleading, false or otherwise deceptive.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Consistent with our Company’s long-standing commitment to sustainability and environmental stewardship, we have published our 2024 Sustainability Report, providing details on our sustainability-related performance and outlining progress towards our 2030 sustainability goals. The Sustainability Report conveys the strong linkage between the Company’s sustainability goals and our growth strategy, inclusive of the planned and ongoing expansion of the Company’s Recycling Processing and Sales and WM Renewable Energy segments. The information in this report can be found at sustainability.wm.com but it does not constitute a part of, and is not incorporated by reference into, this Annual Report on Form 10-K. The Company also participates in a number of voluntary reporting programs and frameworks that provide further transparency on our commitment to sustainability.</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PFAS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Federal and state governments have increased their focus on efforts to safeguard communities from the potentially harmful effects associated with per- and polyfluoroalkyl substances (“PFAS”). PFAS are a large group of chemicals that have been used in industrial and consumer products since the 1940s, including in products as diverse as carpets, paints and stains, water-resistant clothing and fabrics, nonstick cookware, food packaging, and firefighting chemicals. Possible human health effects of exposure to certain PFAS compounds may include low infant birth weights, immune system impacts, or cancer.</w:t>
      </w:r>
    </w:p>
    <w:p>
      <w:pPr>
        <w:spacing w:after="0" w:line="18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There are a number of risks related to PFAS that could impact our business, and the EPA has prioritized PFAS-related issues in recent years. For example, in 2021, the EPA released its PFAS Strategic Roadmap, providing a high-level overview of activities that the agency intends to take to safeguard public health, protect the environment and hold polluters accountable. These actions include establishing drinking water standards, evaluating landfill discharges of PFAS in leachate, finalizing new risk assessments and test procedures and updating guidance on PFAS disposal and destruction options. In April 2024, the EPA finalized the designation of two PFAS compounds (perfluorooctanoic acid (PFOA) and perfluorooctanesulfonic acid (PFOS)) as hazardous substances under CERCLA. We are actively working with both Congress and the EPA to provide landfills and other essential public services with relief from CERCLA liability and instead hold accountable manufacturers and heavy users of these compounds. Without such relief, we may face increased exposure to remediation and litigation costs associated with properties that the EPA may designate as CERCLA sites due to the presence of PFAS. Additionally, in April 2024, the EPA announced the final National Primary Drinking Water Regulation for six PFAS compounds and established legally enforceable maximum contaminant levels, as well as non-enforceable maximum contaminant level goals for these PFAS compounds. We expect that there could be continued efforts to regulate or impose liability with respect to PFAS at the federal level. At the state level, an increasing number of jurisdictions have enacted new drinking water, surface water and/or groundwater limits for various PFAS compounds, which has led to a patchwork of PFAS standards across the U.S. Compliance with new and future state and federal PFAS standards is anticipated to result in additional expense to the Company, but such standards are also anticipated to present potential business opportunities in the area of PFAS management, treatment and disposal.</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Recycling; Foreign Import and Export Regulations and Material Restrictions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Regulations affecting, and in some cases restricting, the international flow of certain recyclables have led to a reduction in export activity for such recyclables, as well as higher quality requirements, and higher processing costs. We do not ship plastics collected on our residential recycling routes and processed at our single stream recycling facilities to locations outside of North America; however, current and developing international regulations may limit our ability to export other commodities, including certain plastics. Additionally, the new U.S. presidential administration has called for substantial changes to foreign trade policy. Significant new restrictions and tariffs on foreign trade could have a negative impact on our recycling export business and could increase the cost of certain equipment and other materials used in our operations that we procure from outside the U.S., including certain equipment used to implement our sustainability growth strategy.</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Prices and demand for recyclables fluctuate. We have discussed our sustainability growth strategy that includes planned and ongoing investments in our recycling business to increase automation and reduce labor dependency. Such investments are also targeted at addressing increases in regulatory- and customer-driven quality requirements for commodities. These investments increase our exposure to commodity price fluctuations. We mitigate some of the effects of price fluctuation through the contract terms pursuant to which we sell commodities, such as floor pricing. Additionally,</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future regulation, tariffs, international trade policies or other initiatives, including extended producer responsibility regulations, minimum recycled content laws, container deposit laws, or regulations addressing climate change or GHG emissions, may impact supply and demand of material, or increase operating costs, which could impact the profitability of our recycling operations.</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With a heightened awareness of the global problems caused by plastic waste in the environment, and actual or perceived risks for human health, many governments have passed ordinances banning certain types of plastics from sale or use. The most common materials banned include plastic bags and straws, polystyrene plastic and some types of single use packaging. These bans have resulted in increased pressure by manufacturers for our recycling facilities to accept a broader array of materials in curbside recycling and composting programs to alleviate public pressures to ban the sale of those materials. However, with no or limited viable end markets for many of these materials, we and other recyclers are working to educate and remind customers of the need for end market demand and economic viability to support the inclusion of certain materials in recycling programs. We are also making investments in end markets to support the collection and processing of some of these materials. With increased focus on responsible management of plastics, our procurement team has taken a proactive approach to help ensure environmental sustainability goals are prioritized in managing the products we buy.</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Extended Producer Responsibility</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Regulations establishing extended producer responsibility (“EPR”) are being considered or implemented in many places around the world, including in certain states in the U.S. and provinces in Canada. EPR regulations are designed to place either partial or total responsibility on producers of consumer-packaged goods and other products to fund the post-use life cycle of the products and packaging they create. Along with the funding responsibility, producers may be required to undertake additional responsibilities, such as taking over management of local recycling programs by taking back their products from end users or managing the collection operations and recycling processing and marketing infrastructure. During periods of economic difficulty, governmental entities have increased their interest in implementing EPR regulations to reduce municipal spending on recycling programs. There is no federal law establishing EPR in the U.S. or Canada; however, governments could take, and in some cases have taken, steps to implement EPR regulations for packaging, including traditional recyclables such as cardboard, bottles and cans. If wide-ranging EPR regulations were adopted, or other recycling-related regulations like container deposit laws were widely adopted, they could significantly impact the waste, recycling and other streams we manage, including with respect to quality and volume, and how we operate our business, including contract terms and pricing.</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Tax Legislation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Inflation Reduction Act of 2022 (“IRA”) contains several tax-related provisions, including with respect to</w:t>
      </w:r>
    </w:p>
    <w:p>
      <w:pPr>
        <w:spacing w:after="0" w:line="27" w:lineRule="exact"/>
        <w:rPr>
          <w:sz w:val="20"/>
          <w:szCs w:val="20"/>
          <w:color w:val="auto"/>
        </w:rPr>
      </w:pPr>
    </w:p>
    <w:p>
      <w:pPr>
        <w:jc w:val="both"/>
        <w:ind w:left="60" w:right="59" w:hanging="10"/>
        <w:spacing w:after="0" w:line="251" w:lineRule="auto"/>
        <w:tabs>
          <w:tab w:leader="none" w:pos="2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fuel tax credits; (ii) tax incentives for investments in renewable energy production, carbon capture, and other climate actions and (iii)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The provisions of the IRA related to alternative fuel tax credits secured approximately $60 million of annual pre-tax benefit (recorded as a reduction in our operating expense) from tax credits in 2023 and 2024. The alternative fuel credit expired at the end of 2024 and will not provide any future benefit to the Company absent further legislative action. With respect to the investment tax credit, we expect the cumulative benefit to be between $300 million and $400 million, a large portion of which is anticipated to be realized in 2024 through 2026. The expected benefit from the investment tax credit for 2025 and 2026 is dependent on a number of estimates and assumptions, including the timing of project completion. Finally, we expect that the production tax credit incentives for investments in renewable energy and carbon capture, as expanded by the IRA, will likely result in an incremental benefit to the Company, although at this time, the anticipated amount of such benefit has not been quantified due, in part, to the lack of regulatory guidance.</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Investment in Natural Gas Vehicles and Infrastructure</w:t>
      </w:r>
    </w:p>
    <w:p>
      <w:pPr>
        <w:spacing w:after="0" w:line="227"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operate a large fleet of natural gas vehicles, and we plan to continue to invest in these assets for our collection fleet. Natural gas fueling infrastructure is not yet broadly available in the U.S. and Canada; as a result, we have constructed</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and operate natural gas fueling stations, some of which also serve the public or pre-approved third parties. There is increasing pressure to reduce the use of fossil fuel in the heavy-duty truck industry, and some regulatory bodies are pursuing requirements for using alternative engine technology, such as electric powered vehicles, rather than natural gas or diesel vehicles. This is resulting in regulatory actions to advance the adoption of zero-emission vehicles and a shift away from tax incentives and grants for natural gas trucks and RNG infrastructure. For example, in April 2024, the EPA established new GHG emissions standards applicable to heavy-duty vehicles that rely on increased deployment of electric vehicles to meet declining emissions targets. California is also at various stages of regulation that would require heavy-duty vehicle fleets to phase-in zero-emissions vehicles. The extent to which states adopt standards similar to California’s into their own regulatory frameworks could accelerate the industry-wide adoption of electric powered vehicles. The full impact of these standards and regulations is uncertain, as several of the specific regulations are the subject of legal challenge, and could impact our long-term vehicle fleet strategies.</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Current options for heavy-duty electric powered vehicles lack sufficient range, recharging infrastructure and efficiency and proven experience for our operations, but we are proactively engaging in pilots of electric powered heavy-duty vehicles and anticipate that we could redirect future planned capital investments in our fleet toward these assets when the vehicles prove economically and operationally viable. We also are actively working with policymakers to help them understand the challenges involving the electrification of heavy-duty collection vehicles. If regulation requires widespread adoption of electric powered vehicles before the technology improves, we may suffer operational inefficiencies and incur higher operating costs. Regulation mandating an accelerated transition to electric powered vehicles would increase our cost to acquire vehicles needed to service our customers, and capital investment required to establish sufficient charging infrastructure could be significant. Additionally, the investments we have made in an industry-leading natural gas fleet and infrastructure could be impaired. Tax incentives and grants that advance the adoption of zero-emissions vehicles and lead to a shift away from natural gas trucks and RNG infrastructure would likely also negatively impact our investments in landfill gas-to-energy facilities.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WM Renewable Energy</w:t>
      </w:r>
    </w:p>
    <w:p>
      <w:pPr>
        <w:spacing w:after="0" w:line="22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recent years, we have discussed our sustainability growth strategy that includes significant planned and ongoing investments in our WM Renewable Energy segment. We have invested, and continue to invest, in facilities to capture methane produced from the Company’s landfills and process it into RNG and electricity. RNG produced from our landfills constitutes a significant source of fuel allocated to our natural gas collection vehicles. The primary drivers of renewable fuel development at our landfills are tax policies, such as the federal tax credits for RNG production and renewable electricity generation under the IRA, and federal and state incentive programs, such as the federal Renewable Fuel Standard (“RFS”) program, California Low Carbon Fuel Standard and similar state programs that promote the production and use of renewable transportation fuels. At the federal level, oil refiners and importers are required through the RFS program to blend specified volumes of various categories of renewable transportation fuels with gasoline or buy credits, referred to as Renewable Identification Numbers (“RINs”), from renewable fuel producers. Many of our facilities are EPA-registered producers of transportation fuel making compressed and liquefied RNG from landfill biogas, which qualifies as a cellulosic biofuel under the RFS program. The Company has invested, and continues to invest, in facilities that capture and process landfill gas into RNG so that we can participate in the RFS program, and the Company has grown and stated its intention to continue to grow its asset base to increase its RNG production.</w:t>
      </w:r>
    </w:p>
    <w:p>
      <w:pPr>
        <w:spacing w:after="0" w:line="19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RINs prices generally respond to regulations enacted by the EPA, as well as fluctuations in supply and demand. The value of the RINs is set through a market established by the RFS program, which market has historically been very volatile. Prior to 2022, the EPA had promulgated rules on an annual basis establishing refiners’ obligations to purchase RNG and other cellulosic biofuels under the RFS program, which introduced a level of uncertainty into the renewable fuels and RINs market. However, in 2023, the EPA issued a rule establishing biofuel blending volumes under the RFS program for compliance years 2023 through 2025. The rule reflected the outsized role of biogas under the program, delivered on many reforms that benefit the solid waste sector, and recognized the continued growth of the market for RNG in vehicle applications. However, we cannot be certain that these changes, or the outcome of pending litigation challenging various aspects of the rule, will ultimately reduce volatility in the RINs market or that future rulemakings will be similarly favorable to our business. The new U.S. presidential administration could seek to reduce existing renewable fuel targets in a new rulemaking or otherwise set reduced targets for renewable fuels under the RFS program in future rulemakings. Moreover, consistent with its prior approach, the new administration may also increase the frequency with which it grants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small refinery exemptions from RFS program requirements. While we cannot predict what actions the new administration may take with respect to the RFS program, any changes to existing or future renewable fuel targets or more frequent approval of requests for small refinery exemptions could have a significant negative impact on demand for renewable fuels and the value of RINs. In an effort to mitigate against such risk and stabilize our RNG portfolio, we are pursuing long-term RNG sales transactions in the voluntary market. We continue to advocate for policies that could reduce the potential for volatility in the RINs market and ensure long-term stability for renewable transportation fuels, as changes in the RINs market or the structure of the RFS program can and has impacted the financial performance of our facilities. We are closely working with state policymakers and non-governmental stakeholders to understand the role of RNG as a renewable energy resource and in delivering GHG reductions.</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Company’s sustainability growth strategy also is informed by the increased adoption of state and Canadian clean fuel standard programs, utility policies, and voluntary market demand for RNG in transportation and industrial applications. Clean fuel standard programs, originally developed in California and subsequently adopted in Oregon, Washington, and New Mexico, establish annual carbon intensity benchmarks for transportation fuels that decrease over time. These programs operate similar to the RFS program in that certain regulated parties purchase credits from fuel producers, including RNG producers, to meet their carbon intensity obligations. Like RINs, clean fuel standard program credit values can fluctuate with policy and market dynamics. As such, we are advocating for existing programs to adopt measures to promote stability in credit pricing and for other states to adopt similar programs that incentivize the growth in RNG. We also are working closely with stakeholders to encourage the voluntary market for RNG demand, including utility RNG procurement programs, and sustainability protocols, as companies and other customers increasingly look to reduce their GHG emissions profiles. However, these state and voluntary programs may be altered, paused, or otherwise revoked by the applicable governmental authorities or as result of legal challenges.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Environmental Justice</w:t>
      </w:r>
    </w:p>
    <w:p>
      <w:pPr>
        <w:spacing w:after="0" w:line="22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Governments are increasingly adopting requirements for environmental justice reviews as part of certain permitting decisions. These policies generally require permitting agencies to give heightened attention to the potential for projects to disproportionately impact low-income and minority communities. To that end, regulatory agencies have developed a number of screening tools, such as the EPA’s EJScreen, to aid and support relevant regulatory bodies in implementing various programs, such as permitting. Environmental justice considerations are also being increasingly adopted beyond permitting actions; for example, in rulemaking and enforcement priorities. In August 2023, the EPA announced that it would integrate environmental justice into each of its National Enforcement and Compliance Initiatives, and, in November 2023, the agency published a draft update to its Technical Guidance for Assessing Environmental Justice in Regulatory Analysis, which aims to provide agency analysts with the approaches and methods to use in evaluating environmental justice concerns in regulatory actions. Our Company supports policies seeking to advance high standards of environmental performance and the fair treatment of people of all races, cultures, and incomes, and we continue to proactively engage with local communities. We are actively monitoring recent regulatory developments in this area, particularly with respect to permitting, as additional conditions imposed on permitting decisions could increase the time and cost involved to pursue and maintain necessary authorizations.</w:t>
      </w:r>
    </w:p>
    <w:p>
      <w:pPr>
        <w:spacing w:after="0" w:line="1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Privacy and Information Security Regulation</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Various U.S. and international laws and regulations related to data privacy, the protection of confidential information and secure information destruction services apply to our business. Applicable laws require businesses to provide notice under certain circumstances to individuals whose personal information has been disclosed in a data breach. Regulatory enforcement action concerning privacy and security is generally increasing, including significant fines imposed by regulators. Secure handling and disposal of waste that may contain sensitive information may be subject to heightened privacy requirements, and in the event of a breach, could result in regulatory penalties or wider enforcement action, reputational harm, and financial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0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are subject to numerous risks and uncertainties. You should carefully consider the following risk factors in conjunction with “Management’s Discussion and Analysis of Financial Condition and Results of Operations” in Item 7 and our “Financial Statements and Supplementary Data” in Item 8. In addition to the following risks, there may be additional risks and uncertainties that adversely affect our business, performance, or financial condition in the future that are not presently known or are not currently believed to be material.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Strategy and Operational Risks</w:t>
      </w:r>
    </w:p>
    <w:p>
      <w:pPr>
        <w:spacing w:after="0" w:line="225"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our business strategy, our financial performance and our growth could be materially and adversely affected.</w:t>
      </w:r>
    </w:p>
    <w:p>
      <w:pPr>
        <w:spacing w:after="0" w:line="5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future financial performance and success are dependent in large part upon our ability to implement our business strategy successfully. Implementation of our strategy will require effective management of our operational, financial and human resources and will place significant demands on those resources. See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for more information on our business strategy. There are risks involved in pursuing our strategy, including the following:</w:t>
      </w:r>
    </w:p>
    <w:p>
      <w:pPr>
        <w:spacing w:after="0" w:line="72"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customers or investors may not embrace and support our strategy.</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hire or retain the personnel necessary to manage our strategy effectively.</w:t>
      </w:r>
    </w:p>
    <w:p>
      <w:pPr>
        <w:spacing w:after="0" w:line="36"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key element of our strategy is yield management through focus on price leadership, which has presented challenges to keep existing business and win new business at reasonable returns. The loss of volumes as a result of price increases and our unwillingness to pursue lower margin volumes may negatively affect our cash flows or results of operations. Additionally, we have in the past and may in the future face purported class action lawsuits related to our customer service agreements, prices, surcharges and other mandated fees.</w:t>
      </w:r>
    </w:p>
    <w:p>
      <w:pPr>
        <w:spacing w:after="0" w:line="3"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implementing our technology-led automation and optimization strategy and other improvements to operational efficiency and such efforts may not yield the intended result.</w:t>
      </w:r>
    </w:p>
    <w:p>
      <w:pPr>
        <w:ind w:left="720" w:right="79" w:hanging="319"/>
        <w:spacing w:after="0" w:line="26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cost savings achieved, including through our automation and optimization efforts, due to inflationary cost pressures or otherwise.</w:t>
      </w: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with respect to our asset portfolio may result in impairments to our assets.</w:t>
      </w:r>
    </w:p>
    <w:p>
      <w:pPr>
        <w:spacing w:after="0" w:line="36"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our strategy, including growth through acquisitions, such as our recent Stericycle acquisition, and our planned and ongoing expansion of our Recycling Processing and Sales and WM Renewable Energy segments, has caused, and may in the future, cause us to incur substantial additional indebtedness, which may divert capital away from our traditional business operations and other financial plans, and may introduce additional risks and volatility to our financial performance.</w:t>
      </w:r>
    </w:p>
    <w:p>
      <w:pPr>
        <w:spacing w:after="0" w:line="3" w:lineRule="exact"/>
        <w:rPr>
          <w:rFonts w:ascii="Times New Roman" w:cs="Times New Roman" w:eastAsia="Times New Roman" w:hAnsi="Times New Roman"/>
          <w:sz w:val="18"/>
          <w:szCs w:val="18"/>
          <w:color w:val="auto"/>
        </w:rPr>
      </w:pPr>
    </w:p>
    <w:p>
      <w:pPr>
        <w:jc w:val="both"/>
        <w:ind w:left="720" w:right="79" w:hanging="319"/>
        <w:spacing w:after="0" w:line="26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strategic acquisitions depends on our ability to identify desirable acquisition targets, negotiate advantageous transactions despite competition for such opportunities, fund such acquisitions on favorable terms, obtain regulatory approvals and realize the benefits we expect from those transactions.</w:t>
      </w:r>
    </w:p>
    <w:p>
      <w:pPr>
        <w:spacing w:after="0" w:line="2"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investments and/or new service offerings or lines of business may not increase our earnings in the timeframe anticipated, or at all, due to difficulties operating in new markets or providing new service offerings or lines of business, failure of technologies to perform as expected, failure to operate within budget, integration issues, or regulatory issues and compliance costs, among others, and we may experience issues successfully integrating acquisitions into our internal controls, operations, and/or accounting systems.</w:t>
      </w:r>
    </w:p>
    <w:p>
      <w:pPr>
        <w:spacing w:after="0" w:line="3"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acquisitions and/or new services offerings or lines of business, such as our expansion into medical waste, controlled substances waste and secure information destruction services, and additional expansion into markets outside of North America has and would result in our business being subject to new laws and regulatory regimes, resulting in greater exposure to risk of inadvertent noncompliance and additional compliance costs.</w:t>
      </w:r>
    </w:p>
    <w:p>
      <w:pPr>
        <w:jc w:val="both"/>
        <w:ind w:left="720" w:right="79" w:hanging="319"/>
        <w:spacing w:after="0" w:line="261"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associated with acquisitions, including ones that may exist only because of past operations of an acquired business, may prove to be more difficult or costly to address than anticipated, and businesses or assets we acquire may have undisclosed liabilities, despite our efforts to minimize exposure to such risks through due diligence and other measures.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720" w:right="79" w:hanging="319"/>
        <w:spacing w:after="0" w:line="26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regulatory or permitting disruptions or delays could detrimentally impact the execution timeline for our planned and ongoing expansions of our Recycling Processing and Sales and WM Renewable Energy businesses.</w:t>
      </w:r>
    </w:p>
    <w:p>
      <w:pPr>
        <w:spacing w:after="0" w:line="2"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seek to divest underperforming and non-strategic assets and operations if we cannot improve their profitability. We may not be able to successfully divest underperforming and non-strategic assets and operations, which could result in asset impairments or the continued operation of low-margin businesses.</w:t>
      </w:r>
    </w:p>
    <w:p>
      <w:pPr>
        <w:spacing w:after="0" w:line="6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risks set forth above, implementation of our business strategy could be affected by other factors beyond our control, such as increased competition, legal developments, government regulation, global geopolitical instability, general economic conditions, including slower growth or recession, increased operating costs or expenses, inflation, subcontractor costs and availability and changes in industry trends. We may decide to alter or discontinue certain aspects of our business strategy at any time. Even if we are able to implement some or all of the initiatives of our business strategy successfully, our operating results may not improve to the extent we anticipate, or at all.</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strategic benefits and cost synergies anticipated from the Stericycle acquisition.</w:t>
      </w:r>
    </w:p>
    <w:p>
      <w:pPr>
        <w:spacing w:after="0" w:line="121" w:lineRule="exact"/>
        <w:rPr>
          <w:sz w:val="20"/>
          <w:szCs w:val="20"/>
          <w:color w:val="auto"/>
        </w:rPr>
      </w:pPr>
    </w:p>
    <w:p>
      <w:pPr>
        <w:jc w:val="both"/>
        <w:ind w:left="60" w:right="59" w:firstLine="363"/>
        <w:spacing w:after="0" w:line="268" w:lineRule="auto"/>
        <w:rPr>
          <w:sz w:val="20"/>
          <w:szCs w:val="20"/>
          <w:color w:val="auto"/>
        </w:rPr>
      </w:pPr>
      <w:r>
        <w:rPr>
          <w:rFonts w:ascii="Times New Roman" w:cs="Times New Roman" w:eastAsia="Times New Roman" w:hAnsi="Times New Roman"/>
          <w:sz w:val="17"/>
          <w:szCs w:val="17"/>
          <w:color w:val="auto"/>
        </w:rPr>
        <w:t>The benefits we expect to receive from the acquisition of Stericycle depend on the performance of the Stericycle business and its ability to achieve financial and operational targets and strategic goals. The acquired Stericycle business, which is now presented as our new WM Healthcare Solutions segment, is subject to numerous risks and uncertainties that could cause performance to be materially different than we anticipate; such factors include, but are not limited to, decreases in the volume of medical waste and controlled substances wastes or personal and confidential information collected from customers; disruptions resulting from deployment of systems, including with respect to the implementation of Stericycle’s enterprise resource planning system and billing and collection delays that Stericycle has experienced following the launch of such system upgrade; changing market conditions in the healthcare industry; competition and demand for services for the medical waste, controlled substances waste and secure information destruction industries; commodity price volatility; changes in regulation of the collection, transportation, treatment and disposal or destruction of medical waste and controlled substances waste or the proper handling and protection of personal and confidential information; the level of government enforcement of regulations governing medical waste and controlled substances waste collection and treatment or the proper handling and protection of personal and confidential information; and the outcome of pending, future or settled litigation or investigations. Should the Stericycle business be unsuccessful in achieving financial and operational targets and implementing the WM Healthcare Solutions business strategy, it could negatively impact our realization of benefits from the acquisition, as well as our stock price and our future business and financial results.</w:t>
      </w:r>
    </w:p>
    <w:p>
      <w:pPr>
        <w:spacing w:after="0" w:line="71" w:lineRule="exact"/>
        <w:rPr>
          <w:sz w:val="20"/>
          <w:szCs w:val="20"/>
          <w:color w:val="auto"/>
        </w:rPr>
      </w:pPr>
    </w:p>
    <w:p>
      <w:pPr>
        <w:jc w:val="both"/>
        <w:ind w:left="60" w:right="59" w:firstLine="363"/>
        <w:spacing w:after="0" w:line="251" w:lineRule="auto"/>
        <w:rPr>
          <w:sz w:val="20"/>
          <w:szCs w:val="20"/>
          <w:color w:val="auto"/>
        </w:rPr>
      </w:pPr>
      <w:r>
        <w:rPr>
          <w:rFonts w:ascii="Times New Roman" w:cs="Times New Roman" w:eastAsia="Times New Roman" w:hAnsi="Times New Roman"/>
          <w:sz w:val="18"/>
          <w:szCs w:val="18"/>
          <w:color w:val="auto"/>
        </w:rPr>
        <w:t>The benefits that are expected to result from our acquisition of Stericycle also depend, in part, on our ability to realize anticipated cost synergies. Our success in realizing these benefits and cost synergies, and the timing of this realization, depends on the successful integration of the Stericycle business. There is a significant degree of difficulty and management attention inherent in the process of integrating an acquisition of this size. The process of integrating operations could cause business interruption and distraction. Some members of our management may be required to devote considerable time to this integration process, which will decrease the time they will have to manage our Company, service existing customers, attract new customers and develop new products or strategies. If management is not able to effectively manage the integration process, including retention of key Stericycle personnel, or if any significant business activities are interrupted as a result of the integration process, our business, financial condition and results of operations could suffer. The acquisition of Stericycle may not result in realization of the benefits and cost synergies that we currently expect, and we cannot guarantee that these benefits and cost synergies will be achieved within anticipated time frames or at all. Additionally, we may incur substantial expenses in connection with the integration of the Stericycle business, which may exceed expectations and offset certain benefits.</w:t>
      </w:r>
    </w:p>
    <w:p>
      <w:pPr>
        <w:spacing w:after="0" w:line="300" w:lineRule="exact"/>
        <w:rPr>
          <w:sz w:val="20"/>
          <w:szCs w:val="20"/>
          <w:color w:val="auto"/>
        </w:rPr>
      </w:pPr>
    </w:p>
    <w:p>
      <w:pPr>
        <w:jc w:val="both"/>
        <w:ind w:left="18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must comply with extensive existing regulations, and changes in regulations, including with respect to emerging contaminants and extended producer responsibility, can restrict or alter our operations, increase our operating costs, increase our tax liabilities, reduce revenues, or require us to make additional capital expenditures.</w:t>
      </w:r>
    </w:p>
    <w:p>
      <w:pPr>
        <w:spacing w:after="0" w:line="6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Stringent government regulations at the federal, state, provincial and local level in the U.S. and Canada, as well as other international jurisdictions where we operate, have a substantial impact on our operations, and compliance with such regulations is costly. See Item 1. </w:t>
      </w:r>
      <w:r>
        <w:rPr>
          <w:rFonts w:ascii="Times New Roman" w:cs="Times New Roman" w:eastAsia="Times New Roman" w:hAnsi="Times New Roman"/>
          <w:sz w:val="18"/>
          <w:szCs w:val="18"/>
          <w:i w:val="1"/>
          <w:iCs w:val="1"/>
          <w:color w:val="auto"/>
        </w:rPr>
        <w:t>Business – Regulation</w:t>
      </w:r>
      <w:r>
        <w:rPr>
          <w:rFonts w:ascii="Times New Roman" w:cs="Times New Roman" w:eastAsia="Times New Roman" w:hAnsi="Times New Roman"/>
          <w:sz w:val="18"/>
          <w:szCs w:val="18"/>
          <w:color w:val="auto"/>
        </w:rPr>
        <w:t xml:space="preserve"> for additional information. Many complex laws, rules, orders and interpretations govern environmental protection, health, safety, land use, zoning, transportation, ethical business conduct,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data privacy and security, and other related and similar subjects. Among other things, governmental regulations and enforcement actions restrict our operations at times and may adversely affect our financial condition, results of operations and cash flows by imposing conditions such as:</w:t>
      </w:r>
    </w:p>
    <w:p>
      <w:pPr>
        <w:spacing w:after="0" w:line="14" w:lineRule="exact"/>
        <w:rPr>
          <w:sz w:val="20"/>
          <w:szCs w:val="20"/>
          <w:color w:val="auto"/>
        </w:rPr>
      </w:pPr>
    </w:p>
    <w:p>
      <w:pPr>
        <w:ind w:left="720" w:right="79" w:hanging="319"/>
        <w:spacing w:after="0" w:line="26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siting and constructing new waste disposal, destruction, transfer, recycling or processing facilities or on expanding existing facilities;</w:t>
      </w: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regulations or levies on collection and disposal prices, rates and volumes;</w:t>
      </w:r>
    </w:p>
    <w:p>
      <w:pPr>
        <w:spacing w:after="0" w:line="36"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bans, taxes or charges on the disposal, destruction or transportation of out-of-state waste or certain categories of waste;</w:t>
      </w:r>
    </w:p>
    <w:p>
      <w:pPr>
        <w:jc w:val="both"/>
        <w:ind w:left="720" w:right="79" w:hanging="319"/>
        <w:spacing w:after="0" w:line="26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mandates regarding the management of solid waste, organics, medical waste, controlled substances waste and other materials, including requirements to recycle, divert, destroy, or otherwise process certain waste, recycling and other streams; or</w:t>
      </w:r>
    </w:p>
    <w:p>
      <w:pPr>
        <w:spacing w:after="0" w:line="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restrictions on the recycling, processing or transformation of waste, recycling and other streams.</w:t>
      </w:r>
    </w:p>
    <w:p>
      <w:pPr>
        <w:spacing w:after="0" w:line="11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Regulations affecting the siting, design and closure of landfills require us, at times, to undertake investigatory or remedial activities, curtail operations or close landfills temporarily or permanently. We have significant financial obligations relating to final capping, closure, post-closure and environmental remediation at our existing landfills and we establish accruals for these estimated costs. Expenditures could be accelerated or materially exceed our accruals due to earlier than expected closure of landfills; the types of waste collected and manner in which it is transported and disposed of, including actions taken in the past by companies we have acquired or third-party landfill operators; environmental regulatory changes; new information about waste types previously collected, or other emerging contaminants. Similar issues can also result in a significant increase in operating costs; for example, developments in recent years related to management of per-and polyfluoroalkyl substances (“PFAS”) have increased our landfill operating costs. Federal and state governments have increased their focus on efforts to safeguard communities from the potentially harmful effects associated with PFAS. See Item 1. </w:t>
      </w:r>
      <w:r>
        <w:rPr>
          <w:rFonts w:ascii="Times New Roman" w:cs="Times New Roman" w:eastAsia="Times New Roman" w:hAnsi="Times New Roman"/>
          <w:sz w:val="18"/>
          <w:szCs w:val="18"/>
          <w:i w:val="1"/>
          <w:iCs w:val="1"/>
          <w:color w:val="auto"/>
        </w:rPr>
        <w:t>Business – Regulation – Recent Developments and Focus Areas in Policy and Regulation – PFAS</w:t>
      </w:r>
      <w:r>
        <w:rPr>
          <w:rFonts w:ascii="Times New Roman" w:cs="Times New Roman" w:eastAsia="Times New Roman" w:hAnsi="Times New Roman"/>
          <w:sz w:val="18"/>
          <w:szCs w:val="18"/>
          <w:color w:val="auto"/>
        </w:rPr>
        <w:t xml:space="preserve"> for additional information. We may face increased exposure to testing, remediation and litigation costs as a result of new and emerging PFAS regulations and requirements.</w:t>
      </w:r>
    </w:p>
    <w:p>
      <w:pPr>
        <w:spacing w:after="0" w:line="7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Regulations establishing extended producer responsibility (“EPR”) are being considered or implemented in many places around the world, including in certain states in the U.S. and provinces in Canada. EPR regulations are designed to place either partial or total responsibility on producers of consumer-packaged goods and other products to fund the post-use life cycle of the products and packaging they create. For additional information, See Item 1. </w:t>
      </w:r>
      <w:r>
        <w:rPr>
          <w:rFonts w:ascii="Times New Roman" w:cs="Times New Roman" w:eastAsia="Times New Roman" w:hAnsi="Times New Roman"/>
          <w:sz w:val="18"/>
          <w:szCs w:val="18"/>
          <w:i w:val="1"/>
          <w:iCs w:val="1"/>
          <w:color w:val="auto"/>
        </w:rPr>
        <w:t>Business – Regulation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Recent Developments and Focus Areas in Policy and Regulation – Extended Producer Responsibility</w:t>
      </w:r>
      <w:r>
        <w:rPr>
          <w:rFonts w:ascii="Times New Roman" w:cs="Times New Roman" w:eastAsia="Times New Roman" w:hAnsi="Times New Roman"/>
          <w:sz w:val="18"/>
          <w:szCs w:val="18"/>
          <w:color w:val="auto"/>
        </w:rPr>
        <w:t>.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in the waste, recycling and other streams we manage, including with respect to quality and volume, could have a material adverse effect on our financial condition, results of operations and cash flows.</w:t>
      </w:r>
    </w:p>
    <w:p>
      <w:pPr>
        <w:spacing w:after="0" w:line="8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Following our acquisition of Stericycle, we are subject to additional laws and regulations in the U.S. and internationally concerning transportation, management and disposal or destruction of medical waste streams, including regulations that govern the definition, generation, segregation, handling, packaging, transportation, treatment, storage and disposal or destruction of medical waste and controlled substances waste, along with extensive recordkeeping and documentation requirements. Additionally, Stericycle’s secure information destruction services are subject to additional laws and regulations regarding proper handling and protection of personal and confidential information. Relaxation of enforcement, government shutdowns, or other changes in governmental regulation of medical waste and controlled substances waste and personal and confidential information could increase the number of competitors we face or reduce or delay the need for these services.</w:t>
      </w:r>
    </w:p>
    <w:p>
      <w:pPr>
        <w:spacing w:after="0" w:line="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Stericycle is, and has been, involved in government investigations, enforcement proceedings, private lawsuits and other disputes alleging noncompliance with applicable regulations, including alleged noncompliance with the Controlled Substances Act and other statutes involving its now-divested Domestic Environmental Solutions business of collecting, transporting, and destroying controlled substances from retail customers. With the acquisition of Stericycle, these matters may result in adverse consequences, including permit revocations or denials and civil, criminal and administrative penalties.</w:t>
      </w:r>
    </w:p>
    <w:p>
      <w:pPr>
        <w:spacing w:after="0" w:line="7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new U.S. presidential administration has called for substantial changes to areas of foreign trade policy and has generally appeared to be in favor of reducing regulation, including environmental regulation. We do not know what impact the change in U.S. presidential administration will have on specific regulatory policies impacting our industry and our Company, especially given the number of rules currently in litigation, nor can we predict the timing of any such changes.</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Reduction of regulation may have a favorable impact on our operating costs, but the extensive environmental regulation applicable to our industry is also a barrier to rapid entry that benefits our Company. Significant new restrictions and tariffs on foreign trade could have a negative impact on our recycling export business and our cross-border commerce, particularly with Canada, and could increase the cost of certain equipment and other materials used in our operations that we procure from outside the U.S., including our trucks and certain equipment used to implement our sustainability growth strategy. It is likely that some policies adopted by the new administration will benefit us and others will negatively affect us.</w:t>
      </w:r>
    </w:p>
    <w:p>
      <w:pPr>
        <w:spacing w:after="0" w:line="8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If we encounter regulatory compliance issues in the course of operating our business, we may experience adverse publicity, which may intensify if such noncompliance results in legal liability. Any legal liability or adverse publicity from such noncompliance may harm our reputation and result in difficulties in attracting new customers, or retaining existing customers, which would negatively impact our results of operations and financial condition.</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operational and safety risks, including the risk of injury to employees and others.</w:t>
      </w:r>
    </w:p>
    <w:p>
      <w:pPr>
        <w:spacing w:after="0" w:line="121"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Providing environmental and waste management services, including constructing and operating landfills, transfer stations, processing facilities, recycling facilities and other disposal or destruction facilities, and landfill gas-to-energy facilities, involves risks such as truck accidents, equipment defects, malfunctions and failures, and improper use of dangerous equipment. Additionally, we closely monitor and manage landfills to minimize the risk of waste mass instability, releases of hazardous materials, and odors that are sometimes triggered by weather or natural disasters. There are also risks presented by the potential for subsurface heat reactions causing elevated landfill temperatures and increased production of leachate, landfill gas and odors, and we have proactively incurred increased costs to manage leachate in response to this risk. We build and operate natural gas fueling stations, some of which also serve the public or third parties. Operation of fueling stations and landfill gas collection and control systems, as well as operation of heavy machinery and management of flammable materials at our recycling facilities and transfer stations, involves additional risks of fire and explosion. The Stericycle business requires handling of medical waste and controlled substances waste. Incidents such as truck accidents, damaged or leaking containers, improper storage of medical waste and controlled substances waste, placement of prohibited materials into the waste stream, or malfunctioning plant equipment could result in exposure to contaminated or infectious waste or other hazardous materials.</w:t>
      </w:r>
    </w:p>
    <w:p>
      <w:pPr>
        <w:spacing w:after="0" w:line="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Any of these risks could potentially result in injury, illness or death of employees and others. These risks could also result in a need to shut down or reduce operation of facilities, increased operating costs and exposure to liability for pollution, public nuisance, and other environmental damage, and property damage or destruction. While we seek to minimize our exposure to such risks through comprehensive training, compliance and response and recovery programs, as well as vehicle and equipment maintenance programs, if we were to incur substantial liabilities in excess of any applicable insurance, our business, results of operations and financial condition could be adversely affected. Any such incidents could also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76" w:lineRule="exact"/>
        <w:rPr>
          <w:sz w:val="20"/>
          <w:szCs w:val="20"/>
          <w:color w:val="auto"/>
        </w:rPr>
      </w:pPr>
    </w:p>
    <w:p>
      <w:pPr>
        <w:jc w:val="both"/>
        <w:ind w:left="18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or maintain required permits for our operations or expand existing permitted capacity at our landfills, due to land scarcity, public opposition or otherwise, which can require us to identify disposal alternatives, resulting in decreased revenue and increased costs.</w:t>
      </w:r>
    </w:p>
    <w:p>
      <w:pPr>
        <w:spacing w:after="0" w:line="6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ability to meet our financial and operating objectives depends in part on our ability to obtain and maintain the permits, authorizations, approvals, certificates, and other governmental permissions necessary to operate landfill sites, recycling facilities, compost facilities, processing facilities, landfill gas-to-energy facilities, incineration facilities and transfer stations in the various jurisdictions in which we operate. Changes in applicable laws and regulations could require us to obtain new permits or to change the way in which we operate our business. Even where permits are obtained, they may contain conditions or restrictions that limit our ability to operate efficiently. Permits to build, operate and expand solid waste management facilities, including landfills and transfer stations,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or governmental agencies may oppose the issuance of a permit or approval we may need, allege violations of the permits under which we currently operate or laws or regulations to which we are subjected, or seek to impose liability on us for alleged environmental damage. Such actions could also impact our ability to do business by causing reputational harm. Our ability</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to receive permits is also impacted by land scarcity, particularly in densely populated areas. Diminishing disposal capacity, typically in proximity to major metropolitan areas, sometimes requires us to transport waste by rail or find alternative disposal solutions in affected areas, increasing our operating costs. Governments are increasingly adopting requirements for environmental justice reviews as part of certain permitting decisions. These policies generally require permitting agencies to give heightened attention to the potential for projects to disproportionately impact low-income and minority communities. Responding to permit challenges has, at times, increased our costs and extended the time associated with establishing new facilities and expanding existing facilities. Our failure to obtain the required permits and necessary capacity expansion to operate our business, including our landfills, could have a material adverse impact on our financial condition, results of operations and cash flows.</w:t>
      </w:r>
    </w:p>
    <w:p>
      <w:pPr>
        <w:spacing w:after="0" w:line="76" w:lineRule="exact"/>
        <w:rPr>
          <w:sz w:val="20"/>
          <w:szCs w:val="20"/>
          <w:color w:val="auto"/>
        </w:rPr>
      </w:pPr>
    </w:p>
    <w:p>
      <w:pPr>
        <w:jc w:val="both"/>
        <w:ind w:left="18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spacing w:after="0" w:line="67"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Our operations require us to attract, hire, develop and retain a high-quality workforce to provide a superior customer experience. This includes key individuals in leadership and specialty roles, as well as a very large number of drivers, technicians and other front-line and back-office team members necessary to provide our environmental services. We experience significant competition to hire and retain individuals for certain front-line positions, such as commercial truck drivers, from within and outside our industry. (Also see Item 1A. Risk Factors — Market disruption, including labor shortages, external strikes, and supply chain constraints, and macroeconomic pressures, including inflation, have recently had, and may in the future have, an adverse impact on our business and results of operations.) Additionally, the market for employees that serve on our digital team is highly competitive. As we have accelerated our investments in our technology-led automation and optimization strategy, it is increasingly important that we are able to attract and retain employees with the skills and expertise necessary to implement and manage these projects. We also compete to attract skilled business leaders, and our own key team members are sought after by our competitors and other companies. We make significant investments, and engage in internal succession planning, to provide us with a robust pipeline of future leaders. If we are not able to attract, hire, develop and retain a high-quality workforce with the necessary skills and expertise, as well as key leaders, or if we experience significant employee turnover, it can result in business and strategic disruption, increased costs, and loss of institutional knowledge, which could negatively impact our results of operations.</w:t>
      </w:r>
    </w:p>
    <w:p>
      <w:pPr>
        <w:spacing w:after="0" w:line="84"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our labor costs as a result of labor unions organizing, changes in regulations related to labor unions or increases in employee minimum wages, could adversely affect our future results.</w:t>
      </w:r>
    </w:p>
    <w:p>
      <w:pPr>
        <w:spacing w:after="0" w:line="5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Labor unions continually attempt to organize our employees, and these efforts will likely continue in the future. Certain groups of our employees are currently represented by unions, and we have negotiated collective bargaining agreements with these unions. Additional groups of employees may seek union representation in the future, and, if successful, would enhance organized labor’s leverage to obtain higher than expected wage and benefits costs and resist the introduction of new technology and other initiatives, which can result in increased operating expenses and lower net income. If we are unable to negotiate acceptable collective bargaining agreements, our operating expenses could increase significantly as a result of work stoppages, including strikes. Additionally, a large portion of our workforce are hourly personnel, and many of these individuals, particularly in our recycling business, are paid at rates related to federal and state minimum wages. Increases in minimum wage rates, or the enactment of new wage-related legislation, may significantly increase our labor costs. Any of these matters could adversely affect our financial condition, results of operations and cash flows.</w:t>
      </w:r>
    </w:p>
    <w:p>
      <w:pPr>
        <w:spacing w:after="0" w:line="80"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seasonal nature of our business, severe weather events resulting from climate change and event driven projects cause our results to fluctuate, and prior performance may not be indicative of our future results.</w:t>
      </w:r>
    </w:p>
    <w:p>
      <w:pPr>
        <w:spacing w:after="0" w:line="5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financial and operating results may fluctuate for many reasons. Our operating revenues and volumes typically experience seasonal increases in the summer months, that are reflected in second and third quarter revenues and results of operations. 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 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projects can boost revenues through additional</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work for a limited time, due to significant start-up costs and other factors, such revenue can generate earnings at comparatively lower margins. For these and other reasons, operating results in any period may not be indicative of operating results for any other period. Our stock price may be negatively impacted by interim variations in our results.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and the value of our brand would negatively impact our business.</w:t>
      </w:r>
    </w:p>
    <w:p>
      <w:pPr>
        <w:spacing w:after="0" w:line="121" w:lineRule="exact"/>
        <w:rPr>
          <w:sz w:val="20"/>
          <w:szCs w:val="20"/>
          <w:color w:val="auto"/>
        </w:rPr>
      </w:pPr>
    </w:p>
    <w:p>
      <w:pPr>
        <w:jc w:val="both"/>
        <w:ind w:left="60" w:right="59" w:firstLine="360"/>
        <w:spacing w:after="0" w:line="255" w:lineRule="auto"/>
        <w:rPr>
          <w:sz w:val="20"/>
          <w:szCs w:val="20"/>
          <w:color w:val="auto"/>
        </w:rPr>
      </w:pPr>
      <w:r>
        <w:rPr>
          <w:rFonts w:ascii="Times New Roman" w:cs="Times New Roman" w:eastAsia="Times New Roman" w:hAnsi="Times New Roman"/>
          <w:sz w:val="18"/>
          <w:szCs w:val="18"/>
          <w:color w:val="auto"/>
        </w:rPr>
        <w:t>We believe we have developed a reputation for high-quality service, reliability and social and environmental responsibility, and we believe our brand symbolizes these attributes. The WM brand name, trademarks and logos and our reputation are powerful sales and marketing tools, and we devote significant resources to promoting and protecting them. Adverse publicity, whether or not justified, relating to activities by our operations, employees or agents, or challenges to our assertions of social and environmental responsibility, could tarnish our reputation and reduce the value of our brand. (Also see Item 1A. Risk Factors — Focus on, and regulation of, sustainability performance and disclosure can result in increased costs, risk of noncompliance, damage to our reputation and related adverse effects).</w:t>
      </w:r>
    </w:p>
    <w:p>
      <w:pPr>
        <w:spacing w:after="0" w:line="77" w:lineRule="exact"/>
        <w:rPr>
          <w:sz w:val="20"/>
          <w:szCs w:val="20"/>
          <w:color w:val="auto"/>
        </w:rPr>
      </w:pPr>
    </w:p>
    <w:p>
      <w:pPr>
        <w:jc w:val="both"/>
        <w:ind w:left="18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made significant investments in an extensive natural gas truck fleet, which makes us partially dependent on the availability of natural gas and fueling infrastructure and vulnerable to natural gas prices, and requirements to transition away from our current vehicle fleet to electric powered vehicles could impair our investments and result in cost increases and significant additional capital investment.</w:t>
      </w:r>
    </w:p>
    <w:p>
      <w:pPr>
        <w:spacing w:after="0" w:line="7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operate a large fleet of natural gas vehicles, and we plan to continue to invest in these assets for our collection fleet. However, natural gas fueling infrastructure is not yet broadly available in the U.S. and Canada; as a result, we have constructed and operate natural gas fueling stations, some of which also serve the public or pre-approved third parties. It will remain necessary for us to invest capital in fueling infrastructure to power our natural gas fleet. Fluctuations in the price and supply of natural gas or diesel fuel could substantially increase our operating expenses; a reduction in the existing cost differential between natural gas and diesel fuel could materially reduce the benefits we anticipate from our investment in natural gas vehicles.</w:t>
      </w:r>
    </w:p>
    <w:p>
      <w:pPr>
        <w:spacing w:after="0" w:line="8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There is increasing pressure to reduce the use of fossil fuel in the heavy-duty truck industry, and some regulatory bodies are pursuing requirements for using alternative engine technology, such as electric powered vehicles, rather than natural gas or diesel vehicles. This is resulting in regulatory actions to advance the adoption of zero-emission vehicles and a shift away from tax incentives and grants for natural gas trucks and RNG infrastructure. See Item 1. </w:t>
      </w:r>
      <w:r>
        <w:rPr>
          <w:rFonts w:ascii="Times New Roman" w:cs="Times New Roman" w:eastAsia="Times New Roman" w:hAnsi="Times New Roman"/>
          <w:sz w:val="18"/>
          <w:szCs w:val="18"/>
          <w:i w:val="1"/>
          <w:iCs w:val="1"/>
          <w:color w:val="auto"/>
        </w:rPr>
        <w:t>Business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Regulation – Investment in Natural Gas Vehicles and Infrastructure </w:t>
      </w:r>
      <w:r>
        <w:rPr>
          <w:rFonts w:ascii="Times New Roman" w:cs="Times New Roman" w:eastAsia="Times New Roman" w:hAnsi="Times New Roman"/>
          <w:sz w:val="18"/>
          <w:szCs w:val="18"/>
          <w:color w:val="auto"/>
        </w:rPr>
        <w:t>for additional information. Regulation mandating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accelerated transition away from natural gas trucks and our remaining diesel vehicles, including the recently acquired Stericycle fleet, to electric powered vehicles would increase our cost to acquire vehicles needed to service our customers, and capital investment required to establish sufficient charging infrastructure could be significant. Additionally, the investments we have made in an industry-leading natural gas fleet and infrastructure could be impaired. Tax incentives and grants that advance the adoption of zero-emissions vehicles and lead to a shift away from natural gas trucks and RNG infrastructure would likely also negatively impact our investments in landfill gas-to-energy facilities.</w:t>
      </w:r>
    </w:p>
    <w:p>
      <w:pPr>
        <w:spacing w:after="0" w:line="80" w:lineRule="exact"/>
        <w:rPr>
          <w:sz w:val="20"/>
          <w:szCs w:val="20"/>
          <w:color w:val="auto"/>
        </w:rPr>
      </w:pPr>
    </w:p>
    <w:p>
      <w:pPr>
        <w:jc w:val="both"/>
        <w:ind w:left="18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achieve our sustainability-related goals, including reduction of our greenhouse gas ("GHG") emissions, or execute on our sustainability-related growth strategy and initiatives, within planned timelines or anticipated budget, which could damage our reputation and negatively impact the benefits anticipated from our investments.</w:t>
      </w:r>
    </w:p>
    <w:p>
      <w:pPr>
        <w:spacing w:after="0" w:line="72" w:lineRule="exact"/>
        <w:rPr>
          <w:sz w:val="20"/>
          <w:szCs w:val="20"/>
          <w:color w:val="auto"/>
        </w:rPr>
      </w:pPr>
    </w:p>
    <w:p>
      <w:pPr>
        <w:jc w:val="both"/>
        <w:ind w:left="60" w:right="59" w:firstLine="324"/>
        <w:spacing w:after="0" w:line="269" w:lineRule="auto"/>
        <w:rPr>
          <w:sz w:val="20"/>
          <w:szCs w:val="20"/>
          <w:color w:val="auto"/>
        </w:rPr>
      </w:pPr>
      <w:r>
        <w:rPr>
          <w:rFonts w:ascii="Times New Roman" w:cs="Times New Roman" w:eastAsia="Times New Roman" w:hAnsi="Times New Roman"/>
          <w:sz w:val="17"/>
          <w:szCs w:val="17"/>
          <w:color w:val="auto"/>
        </w:rPr>
        <w:t>Consistent with our Company’s long-standing commitment to sustainability and environmental stewardship, we have set goals to reduce our GHG emissions and announced other sustainability-related goals and initiatives. We may not be able to meet such goals or implement such initiatives in the manner or on timelines contemplated due to challenges including, but not limited to, unforeseen costs or delays, changes in how GHG emissions are calculated or otherwise reported, supply chain disruptions, regulatory impacts, integration of acquired assets or businesses, technology limitations or technical difficulties associated with achieving such goals. Changes to our business or asset base that were not contemplated when we set our sustainability-related goals, including the acquisition and integration of Stericycle’s business, assets and operations, could adversely impact our progress towards these goals and require us to adjust them. These changes could negatively impact public perception of our Company and stakeholders may view these changes unfavorably. Also, despite voluntarily announcing such sustainability goals, we may receive pressure from investors or other groups to adopt more aggressive sustainability-related goals that may not be technically, operationally, or financially feasible.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addition, our sustainability-related growth strategy includes significant planned and ongoing investments in our Recycling Processing and Sales and WM Renewable Energy segments. Our ability to successfully execute this strategy may be impacted by the numerous risks and uncertainties associated with our business and the environmental services industry, including financial and operating performance, availability of technology and financing, changes in regulation, commodity price fluctuation and general economic conditions. (Also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Our revenues, earnings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cash flows fluctuate based on changes in commodity prices and demand and may fluctuate substantially without notice in the future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 Our sustainability growth strategy includes significant planned and ongoing investments in our WM Renewable Energy segment; changes to federal and state renewable fuel policies could affect our financial performance, and such investments may not yield the results anticipated.</w:t>
      </w:r>
      <w:r>
        <w:rPr>
          <w:rFonts w:ascii="Times New Roman" w:cs="Times New Roman" w:eastAsia="Times New Roman" w:hAnsi="Times New Roman"/>
          <w:sz w:val="18"/>
          <w:szCs w:val="18"/>
          <w:color w:val="auto"/>
        </w:rPr>
        <w:t>) Favorable expectations regarding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investment tax credits or other benefits stemming from the Inflation Reduction Act of 2022 (“IRA”) may not materialize or could fail to meet expectations. See Item 1. </w:t>
      </w:r>
      <w:r>
        <w:rPr>
          <w:rFonts w:ascii="Times New Roman" w:cs="Times New Roman" w:eastAsia="Times New Roman" w:hAnsi="Times New Roman"/>
          <w:sz w:val="18"/>
          <w:szCs w:val="18"/>
          <w:i w:val="1"/>
          <w:iCs w:val="1"/>
          <w:color w:val="auto"/>
        </w:rPr>
        <w:t>Business – Regulation – Recent Developments and Focus Areas in Policy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Regulation – Tax Legislation </w:t>
      </w:r>
      <w:r>
        <w:rPr>
          <w:rFonts w:ascii="Times New Roman" w:cs="Times New Roman" w:eastAsia="Times New Roman" w:hAnsi="Times New Roman"/>
          <w:sz w:val="18"/>
          <w:szCs w:val="18"/>
          <w:color w:val="auto"/>
        </w:rPr>
        <w:t>for additional information.</w:t>
      </w:r>
    </w:p>
    <w:p>
      <w:pPr>
        <w:spacing w:after="0" w:line="8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Some or all of the expected benefits of our sustainability-related investments and initiatives may not occur within the anticipated time periods or may cost more to achieve than anticipated. An inability to develop, obtain, or scale necessary equipment, technology and innovations, and challenges arising from the availability or cost of materials and infrastructure or regulatory approvals or permitting requirements associated with our sustainability investments and initiatives, could impede our ability to execute on our plans and achieve our goals or realize our expected financial performance from these investments. Actions we take to achieve these goals and implement our sustainability growth strategy and initiatives, including development and implementation of enhanced technology and reporting systems, will require increased capital expenditures and management focus, which may divert investment and management focus away from other aspects of our business operations.</w:t>
      </w:r>
    </w:p>
    <w:p>
      <w:pPr>
        <w:spacing w:after="0" w:line="80" w:lineRule="exact"/>
        <w:rPr>
          <w:sz w:val="20"/>
          <w:szCs w:val="20"/>
          <w:color w:val="auto"/>
        </w:rPr>
      </w:pPr>
    </w:p>
    <w:p>
      <w:pPr>
        <w:jc w:val="both"/>
        <w:ind w:left="60" w:right="59" w:firstLine="324"/>
        <w:spacing w:after="0" w:line="259" w:lineRule="auto"/>
        <w:rPr>
          <w:sz w:val="20"/>
          <w:szCs w:val="20"/>
          <w:color w:val="auto"/>
        </w:rPr>
      </w:pPr>
      <w:r>
        <w:rPr>
          <w:rFonts w:ascii="Times New Roman" w:cs="Times New Roman" w:eastAsia="Times New Roman" w:hAnsi="Times New Roman"/>
          <w:sz w:val="18"/>
          <w:szCs w:val="18"/>
          <w:color w:val="auto"/>
        </w:rPr>
        <w:t xml:space="preserve">We have also forecasted or projected certain operational and financial information with respect to our sustainability investments and initiatives, and many of these statements are based on expectations and assumptions that are necessarily uncertain and are subject to risks and uncertainties that could cause actual results to be materially different from our forecasts and projections. For example, the </w:t>
      </w:r>
      <w:r>
        <w:rPr>
          <w:rFonts w:ascii="Times New Roman" w:cs="Times New Roman" w:eastAsia="Times New Roman" w:hAnsi="Times New Roman"/>
          <w:sz w:val="16"/>
          <w:szCs w:val="16"/>
          <w:color w:val="auto"/>
        </w:rPr>
        <w:t>amount of gas produced over time at landfills can vary depending on many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 xml:space="preserve">including weather and the composition of the inbound waste stream. While we have sophisticated systems to predict gas curves, they are inherently uncertain, and if we have less gas than predicted at a site where we have invested in RNG infrastructure, it may take longer to achieve our return on investment. </w:t>
      </w:r>
      <w:r>
        <w:rPr>
          <w:rFonts w:ascii="Times New Roman" w:cs="Times New Roman" w:eastAsia="Times New Roman" w:hAnsi="Times New Roman"/>
          <w:sz w:val="17"/>
          <w:szCs w:val="17"/>
          <w:color w:val="auto"/>
        </w:rPr>
        <w:t>Relatedly, the quality of the gathered gas is subject to the composition of the waste deposited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xml:space="preserve">at our landfills, and the prevalence of certain chemical compounds may adversely affect the usability of such gas and require further investment in the treatment and management of such compounds. </w:t>
      </w:r>
      <w:r>
        <w:rPr>
          <w:rFonts w:ascii="Times New Roman" w:cs="Times New Roman" w:eastAsia="Times New Roman" w:hAnsi="Times New Roman"/>
          <w:sz w:val="16"/>
          <w:szCs w:val="16"/>
          <w:color w:val="auto"/>
        </w:rPr>
        <w:t>Regulations requiring diversion of organic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6"/>
          <w:szCs w:val="16"/>
          <w:color w:val="auto"/>
        </w:rPr>
        <w:t>wastes away from landfills could have the effect of decreasing the amount of landfill gas produced over time in our landfills.</w:t>
      </w:r>
    </w:p>
    <w:p>
      <w:pPr>
        <w:spacing w:after="0" w:line="77"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Focus on, and regulation of, sustainability performance and disclosure can result in increased costs, risk of noncompliance, damage to our reputation and related adverse effects.</w:t>
      </w:r>
    </w:p>
    <w:p>
      <w:pPr>
        <w:spacing w:after="0" w:line="5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nature, scope, and complexity of matters that our Company must assess, quantify and disclose are expanding due to current, proposed, and recently enacted governmental reporting requirements pertaining to sustainability and climate-related risks and other topics, such as water usage, waste production, labor, human capital, environmental justice, cybersecurity, privacy, and risk oversight. For example, see Item 1. </w:t>
      </w:r>
      <w:r>
        <w:rPr>
          <w:rFonts w:ascii="Times New Roman" w:cs="Times New Roman" w:eastAsia="Times New Roman" w:hAnsi="Times New Roman"/>
          <w:sz w:val="18"/>
          <w:szCs w:val="18"/>
          <w:i w:val="1"/>
          <w:iCs w:val="1"/>
          <w:color w:val="auto"/>
        </w:rPr>
        <w:t>Business – Regulation – Recent Developments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Focus Areas in Policy and Regulation – Climate and Sustainability </w:t>
      </w:r>
      <w:r>
        <w:rPr>
          <w:rFonts w:ascii="Times New Roman" w:cs="Times New Roman" w:eastAsia="Times New Roman" w:hAnsi="Times New Roman"/>
          <w:sz w:val="18"/>
          <w:szCs w:val="18"/>
          <w:color w:val="auto"/>
        </w:rPr>
        <w:t>for information about California’s Climate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Accountability Act and Climate-Related Financial Risk Act, the SEC’s climate-related disclosure rule, which is currently stayed pending judicial review, as well as potential international reporting obligations, including the Corporate Sustainability Reporting Directive. Methodology and timelines for mandatory reporting requirements may be inconsistent with requirements enacted by other governmental entities, including with respect to measuring emissions and requiring a determination of “materiality” that may differ from traditional disclosure requirements under U.S. federal securities laws. Such inconsistency could further increase costs and divert management time and attention.</w:t>
      </w:r>
    </w:p>
    <w:p>
      <w:pPr>
        <w:spacing w:after="0" w:line="8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Our industry faces challenges to implement these rapidly developing disclosure requirements, as well as the risk of enforcement actions by governmental and regulatory agencies for noncompliance. Significant expenditures and commitment of time by management, employees and consultants is involved in developing, implementing and overseeing policies, practices, additional disclosures and internal controls related to environmental and sustainability risk and performance. Public statements with respect to sustainability matters are becoming increasingly subject to heightened scrutiny from public and governmental authorities related to the risk of potential “greenwashing,”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misleading information or false claims overstating potential sustainability benefits. We are aware that non-governmental organizations and other private actors have filed lawsuits against companies under various securities and consumer protection laws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alleging that certain sustainability-related statements, goals or standards were misleading, false or otherwise deceptive. An inability to implement such policies, practices, and internal controls and maintain compliance with laws and regulations, or a perception among stakeholders that our sustainability disclosures and goals are insufficient or our goals are unattainable, could harm our reputation and competitive position and negatively impact our stock price and business performance.</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External Economic and Industry Risks</w:t>
      </w:r>
    </w:p>
    <w:p>
      <w:pPr>
        <w:spacing w:after="0" w:line="225" w:lineRule="exact"/>
        <w:rPr>
          <w:sz w:val="20"/>
          <w:szCs w:val="20"/>
          <w:color w:val="auto"/>
        </w:rPr>
      </w:pPr>
    </w:p>
    <w:p>
      <w:pPr>
        <w:jc w:val="both"/>
        <w:ind w:left="18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Market disruption, including labor shortages, external strikes, and supply chain constraints, and macroeconomic pressures, including inflation, have recently had, and may in the future have, an adverse impact on our business and results of operations.</w:t>
      </w:r>
    </w:p>
    <w:p>
      <w:pPr>
        <w:spacing w:after="0" w:line="6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Market disruption resulting from labor shortages, external labor disputes and strikes (such as the recent port strike) and supply chain and transportation constraints, and macroeconomic pressures, including inflation and rising interest rates, have recently had, and may in the future have, an adverse impact our results and can create risk and uncertainty in financial outlook. Inflation can and has increased costs for the goods and services we purchase, particularly for labor, repair and maintenance, and subcontractor costs. Supply chain activity has largely normalized, but disruption can reduce availability of certain assets used in our business. Aspects of our business rely on third-party transportation providers, and such services have become more limited and expensive. We may also experience margin pressures from commodity-driven business impacts. The October 2024 port strike negatively impacted recycling commodity prices, and the risk of another port strike, or global economic slowdown, could impact future prices. The constrained labor market has resulted in increased costs for wage adjustments, overtime hours and training new hires. If we are not able to overcome limitations on labor availability, it could materially impact our ability to service our customers and our financial results. Significant new restrictions and tariffs on foreign trade could have a negative impact on our recycling export business and our cross-border commerce, particularly with Canada, and could increase the cost of certain equipment and other materials used in our operations that we procure from outside the U.S., including our trucks and certain equipment used to implement our sustainability growth strategy. Geopolitical conflicts and the resulting international responses may also exacerbate market disruption, leading to volatility in commodity prices, impacts on the availability and cost of energy, increased cyberattacks, and vendor and supplier disruptions across the global supply chain. The extent and duration of the impact of these labor market, supply chain, transportation and commodity-price challenges are subject to numerous external factors beyond our control. If such impacts are prolonged and substantial, they could have a material negative effect on our results of operations.</w:t>
      </w:r>
    </w:p>
    <w:p>
      <w:pPr>
        <w:spacing w:after="0" w:line="8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Accelerated and pronounced economic pressures, such as rising interest rates and inflationary cost pressures, have impacted and continue to impact our cost structure and capital expenditures. Significant components of our operating expenses vary directly as we experience changes in revenue due to volume and inflation, and we may not be able to dynamically manage our cost structure in response to such changes. A significant portion of our revenue is tied to a price escalation index with a lookback provision, resulting in a timing lag in our ability to recover increased costs under those contracts during periods of rapid inflation. Separately, for many of our customers we provide services under multi-year contracts that can restrict our ability to increase prices and the timing of such increases. Our overall strategic pricing efforts are focused on recovering as much of the inflationary cost increases we experience in our business as possible by increasing our average unit rate, but such efforts may not be successful for various reasons including the pace of inflation, operating cost inefficiencies, contractual limitations, and market responses. The inability to adequately increase prices to offset increased costs and inflationary pressures, or otherwise mitigate the impact of these conditions on our business, will increase our costs of doing business and reduce our margins.</w:t>
      </w:r>
    </w:p>
    <w:p>
      <w:pPr>
        <w:spacing w:after="0" w:line="78"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environmental services industry is highly competitive, and if we cannot successfully compete in the marketplace, our business, financial condition and operating results may be materially adversely affected.</w:t>
      </w:r>
    </w:p>
    <w:p>
      <w:pPr>
        <w:spacing w:after="0" w:line="5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encounter intense competition from governmental, quasi-governmental and private sources in all aspects of our operations and when expanding to new lines of business or new markets. We principally compete with large national waste management companies, counties and municipalities that maintain their own waste collection and disposal or recycling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by-products, and waste brokers that rely upon haulers in local markets to address customer needs. In recent years, the industry has seen some additional consolidation, though the industry remains intensely competitive. Counties and municipalities may have financial competitive advantages because tax revenues are available to them and tax-exempt financing is more readily available to</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them. Also, such governmental units may attempt to impose flow control or other restrictions that would give them a competitive advantage. In addition, some of our competitors may have lower financial expectations, allowing them to reduce their prices to expand sales volume or to win competitively-bid contracts, including large national accounts and exclusive franchise arrangements with municipalities. When this happens, we may lose customers and be unable to execute our pricing strategy, resulting in a negative impact to our revenue growth from yield on base business.</w:t>
      </w:r>
    </w:p>
    <w:p>
      <w:pPr>
        <w:spacing w:after="0" w:line="71"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earnings and cash flows fluctuate based on changes in commodity prices and demand and may fluctuate substantially without notice in the future.</w:t>
      </w:r>
    </w:p>
    <w:p>
      <w:pPr>
        <w:spacing w:after="0" w:line="51"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Prices and demand for recyclables fluctuate and are particularly susceptible to volatility based on macroeconomic conditions and regulations. The fluctuations in the market prices or demand for these commodities can affect our operating income and cash flows positively, as we experienced in 2024, or negatively, as we experienced in 2023. The increase in market prices in 2024 for recyclable commodities resulted in a year-over-year increase in revenue of $245 million, and the decline in market prices in 2023 for recyclable commodities resulted in a year-over-year decrease in revenue of $308 million.</w:t>
      </w:r>
    </w:p>
    <w:p>
      <w:pPr>
        <w:spacing w:after="0" w:line="7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Regulations affecting, and in some cases restricting, the international flow of certain recyclables have led to a reduction in export activity for such recyclables, as well as higher quality requirements and higher processing costs. Additionally, the new U.S. presidential administration has called for substantial changes to foreign trade policy. Significant new restrictions and tariffs on foreign trade could negatively impact commodity prices and our recycling export business. We are making significant planned and ongoing investments in our recycling business to increase automation and reduce labor dependency and address increases in regulatory- and customer-driven quality requirements for commodities. These investments increase our exposure to commodity price fluctuations. Future regulation, tariffs, international trade policies or other initiatives, including regulations addressing climate change or GHG emissions, may impact supply and demand of material, or increase operating costs, which could impact the profitability of our recycling operations. If we do not effectively manage changes in demand and commodity prices for recyclable materials, or if we do not successfully execute our sustainability growth strategy, our investments in recycling infrastructure and technology may not yield the results anticipated.</w:t>
      </w:r>
    </w:p>
    <w:p>
      <w:pPr>
        <w:spacing w:after="0" w:line="8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Fluctuation in energy-related prices also affects our business, including recycling of plastics manufactured from petroleum products. Our sustainability growth strategy includes increased investment in landfill gas-to-energy facilities and expansion of our WM Renewable Energy segment, which generates and sells credits referred to as Renewable Identification Numbers (“RINs”). RINs prices generally respond to regulations enacted by the EPA, as well as fluctuations in supply and demand, and have historically been very volatile. Additionally, significant variations in the price of biogas, electricity and other energy-related products that are marketed and sold by our landfill gas recovery operations can result in a corresponding impact to our revenue from yield from such operations. Expansion of our WM Renewable Energy segment may introduce additional risks and volatility to our financial performance.</w:t>
      </w:r>
    </w:p>
    <w:p>
      <w:pPr>
        <w:spacing w:after="0" w:line="80"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customer preference for alternatives to landfill disposal and bans on certain types of waste could reduce our landfill volumes and cause our revenues and operating results to decline.</w:t>
      </w:r>
    </w:p>
    <w:p>
      <w:pPr>
        <w:spacing w:after="0" w:line="51"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customers are increasingly diverting waste to alternatives to landfill disposal, such as recycling and composting, while also working to reduce the amount of waste they generate. In addition, many state and local governments mandate diversion, recycling and waste reduction at the source and prohibit the disposal of certain types of materials at landfills, such as recyclables (cardboard, bottles and cans), yard waste, food waste and electronics. Where organic waste is not banned from disposal in landfills, some large customers such as grocery stores and restaurants are choosing to divert their organic waste from landfills. Zero-waste goals (sending no waste to the landfill) have been set by many large North American and global companies and government agencies. This increased focus on minimizing climate impacts may require the Company to invest in higher-cost technologies for more efficient waste collection and processing. Although such mandates and initiatives help to protect our environment, these developments reduce the volume of waste going to our landfills, which may affect the prices that we can charge for landfill disposal. Our landfills currently provide our highest income from operations margins. Reducing landfilled organic waste also reduces the amount of landfill gas produced from our landfills, adversely impacting our landfill gas-to-energy facilities. If we are not successful in expanding our service offerings, growing lines of businesses to service waste streams that do not go to landfills, and providing alternative services for customers that wish to reduce waste entirely, then our revenues and operating results may decline. Additionally, despite the development of new service offerings and lines of business, it is possible that our revenues and our income from operations margins could be negatively affected due to disposal alternatives.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With a heightened awareness of the global problems caused by plastic waste in the environment, and actual or perceived risks for human health, many governments have passed ordinances banning certain types of plastics from sale or use. The most common materials banned include plastic bags and straws, polystyrene plastic and some types of single use packaging. These bans have increased pressure by manufacturers on our recycling facilities to accept a broader array of materials in curbside recycling and composting programs to alleviate public pressures to ban the sale of those materials. However, there are currently no or limited viable end markets for recycling many of these materials, and inclusion of such materials in our recycling stream increases contamination and operating costs that can negatively affect the results of our recycling operations.</w:t>
      </w:r>
    </w:p>
    <w:p>
      <w:pPr>
        <w:spacing w:after="0" w:line="80"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economic conditions can directly and adversely affect revenues for our services and our income from operations margins.</w:t>
      </w:r>
    </w:p>
    <w:p>
      <w:pPr>
        <w:spacing w:after="0" w:line="5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business is directly affected by changes in national and general economic factors that are outside of our control, including consumer confidence, inflation, interest rates and access to capital markets. A weak economy generally results in decreased consumer spending and decreases in volumes of waste generated, which negatively impacts the ability to grow through new business or service upgrades, and may result in customer turnover and reduction in customers’ waste service needs. Consumer uncertainty and the loss of consumer confidence may also reduce the number and variety of services requested by customers. Additionally, a weak market for consumer goods can significantly decrease demand by paper mills for recycled corrugated cardboard used in packaging, which could negatively impact commodity prices and our operating income and cash flows.</w:t>
      </w:r>
    </w:p>
    <w:p>
      <w:pPr>
        <w:spacing w:after="0" w:line="8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 decrease in waste volumes generated results in an increase in competitive pricing pressure; such economic conditions may also interfere with our ability to implement our pricing strategy. Many of our contracts have price adjustment provisions that are tied to an index such as the Consumer Price Index. Our costs may increase more than the increase, if any, in the Consumer Price Index, partially due to our relatively high fixed-cost structure. We may not be able to dynamically manage our cost structure in response to shifting volume levels and vendor costs, and our cost structure may not correlate with the Consumer Price Index or the waste industry. An economic recession or other economic weakness is likely to negatively impact our revenues and margins.</w:t>
      </w:r>
    </w:p>
    <w:p>
      <w:pPr>
        <w:spacing w:after="0" w:line="77"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Reduction in volumes of medical waste, controlled substances wastes, and personal and confidential information, and changing conditions in the healthcare industry, could adversely affect our financial results.</w:t>
      </w:r>
    </w:p>
    <w:p>
      <w:pPr>
        <w:spacing w:after="0" w:line="51" w:lineRule="exact"/>
        <w:rPr>
          <w:sz w:val="20"/>
          <w:szCs w:val="20"/>
          <w:color w:val="auto"/>
        </w:rPr>
      </w:pPr>
    </w:p>
    <w:p>
      <w:pPr>
        <w:jc w:val="both"/>
        <w:ind w:left="60" w:right="59" w:firstLine="401"/>
        <w:spacing w:after="0" w:line="258" w:lineRule="auto"/>
        <w:rPr>
          <w:sz w:val="20"/>
          <w:szCs w:val="20"/>
          <w:color w:val="auto"/>
        </w:rPr>
      </w:pPr>
      <w:r>
        <w:rPr>
          <w:rFonts w:ascii="Times New Roman" w:cs="Times New Roman" w:eastAsia="Times New Roman" w:hAnsi="Times New Roman"/>
          <w:sz w:val="18"/>
          <w:szCs w:val="18"/>
          <w:color w:val="auto"/>
        </w:rPr>
        <w:t>Following our acquisition of Stericycle, we provide compliance-based services that rely on the generation of medical waste, controlled substances waste and personal and confidential information by our customers. The volume of such material may be impacted by macroeconomic trends associated with manufacturing and industrial markets, healthcare market dynamics, and trends associated with an increase in work-from-home arrangements and electronic and digital record keeping. Long-term trends resulting from these factors could reduce the demand for these services.</w:t>
      </w:r>
    </w:p>
    <w:p>
      <w:pPr>
        <w:spacing w:after="0" w:line="7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addition, in the U.S. and elsewhere, the healthcare industry is evolving to meet competing demands for increased healthcare coverage of a growing and aging population and economic pressures to reduce healthcare costs. As a result of these dynamics, hospital networks are consolidating physician practices into their networks, independent practices are consolidating, and healthcare providers are focused on cutting costs within their businesses. These changes and consolidation of the customer base increase the competitive nature of the healthcare waste industry and exert downward pricing pressure, which could adversely affect our financial results.</w:t>
      </w:r>
    </w:p>
    <w:p>
      <w:pPr>
        <w:spacing w:after="0" w:line="75"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Weakness in the economy may expose us to credit risk of governmental entities and municipalities and other major customers, which could negatively impact our financial results.</w:t>
      </w:r>
    </w:p>
    <w:p>
      <w:pPr>
        <w:spacing w:after="0" w:line="5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provide service to a number of governmental entities, municipalities, and large national accounts. During periods of economic weakness, governmental entities and municipalities can suffer significant financial difficulties, due in part to reduced tax revenue and/or high-cost structures. During these periods, such entities, and our non-governmental customers, could be unable to pay amounts owed to us or renew contracts with us at previous or increased rates.</w:t>
      </w:r>
    </w:p>
    <w:p>
      <w:pPr>
        <w:spacing w:after="0" w:line="7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Purchasers of our recycling commodities can be particularly vulnerable to financial difficulties in times of commodity price volatility. The inability of our customers to pay us in a timely manner or to pay increased rates, particularly large national accounts, could negatively affect our operating results.</w:t>
      </w:r>
    </w:p>
    <w:p>
      <w:pPr>
        <w:spacing w:after="0" w:line="68" w:lineRule="exact"/>
        <w:rPr>
          <w:sz w:val="20"/>
          <w:szCs w:val="20"/>
          <w:color w:val="auto"/>
        </w:rPr>
      </w:pPr>
    </w:p>
    <w:p>
      <w:pPr>
        <w:jc w:val="both"/>
        <w:ind w:left="60" w:right="79" w:firstLine="401"/>
        <w:spacing w:after="0" w:line="282" w:lineRule="auto"/>
        <w:rPr>
          <w:sz w:val="20"/>
          <w:szCs w:val="20"/>
          <w:color w:val="auto"/>
        </w:rPr>
      </w:pPr>
      <w:r>
        <w:rPr>
          <w:rFonts w:ascii="Times New Roman" w:cs="Times New Roman" w:eastAsia="Times New Roman" w:hAnsi="Times New Roman"/>
          <w:sz w:val="18"/>
          <w:szCs w:val="18"/>
          <w:color w:val="auto"/>
        </w:rPr>
        <w:t>In addition, the financial difficulties of municipalities could result in a decline in investors’ demand for municipal bonds and a correlating increase in interest rates. As of December 31, 2024, we had $1.4 billion of tax-exempt bonds with</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term interest rate periods that expire within the next 12 months, which is prior to their scheduled maturities. If market dynamics resulted in repricing of our tax-exempt bonds at significantly higher interest rates, we would incur increased interest expenses that may negatively affect our operating results and cash flows.</w:t>
      </w:r>
    </w:p>
    <w:p>
      <w:pPr>
        <w:spacing w:after="0" w:line="64"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applicable tax laws and regulation or interpretation thereof or the imposition of new or increased taxes may increase our tax liabilities and could adversely affect our operating results and cash flows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are subject to various complex and evolving U.S. federal, state, local and non-U.S. tax laws. Existing tax laws, policies, statutes, rules, regulations or ordinances, including those related to any non-U.S. tax jurisdictions in which we operate, could be interpreted, changed, modified or applied adversely to us, in each case, possibly with retroactive effect. Any significant variance in our interpretation of current tax laws or a successful challenge of one or more of our tax positions by the U.S. Internal Revenue Service or other tax authorities could increase our future tax liabilities and adversely affect our operating results and cash flows.</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Shortages in diesel fuel supply or increases in diesel fuel prices will increase our operating expenses.</w:t>
      </w:r>
    </w:p>
    <w:p>
      <w:pPr>
        <w:spacing w:after="0" w:line="12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price and supply of diesel fuel can fluctuate significantly based on international, political and economic circumstances, as well as other factors outside our control, such as actions by oil and gas producers, regional production patterns, weather conditions and environmental concerns. We need diesel fuel to run a notable portion of our collection and transfer trucks and our equipment used in our landfill operations. We also recently acquired Stericycle’s fleet, including a substantial number of diesel vehicles. Fuel supply shortages and price increases could substantially increase our operating expenses. Regardless of any offsetting surcharge programs, increased operating costs due to higher diesel fuel prices will decrease our income from operations margins.</w:t>
      </w:r>
    </w:p>
    <w:p>
      <w:pPr>
        <w:spacing w:after="0" w:line="77"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Large-scale disruption of social and commercial activity and financial markets may have a material adverse impact on our business, financial condition, results of operations and cash flows.</w:t>
      </w:r>
    </w:p>
    <w:p>
      <w:pPr>
        <w:spacing w:after="0" w:line="5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Major external events, including pandemic conditions that result in large-scale disruption of social and commercial activity, such as business closures and social restrictions, could adversely impact our volumes, costs and operational execution. While pandemic conditions can increase demand for medical waste and controlled substances waste collection, treatment and disposal or destruction, protective actions such as travel restrictions, quarantines, or facility closures may interfere with our ability to provide services. If such conditions were to be severe, resulting in a broad-based economic slow-down, it may have a material adverse impact on our financial condition, results of operations and cash flows and hinder our ability to grow our business and execute our business strategy.</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and Information Security Risks</w:t>
      </w:r>
    </w:p>
    <w:p>
      <w:pPr>
        <w:spacing w:after="0" w:line="117"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in technology could trigger a fundamental change in our industry, as waste streams are increasingly viewed as a resource, which may adversely impact volumes at our landfills and our profitability.</w:t>
      </w:r>
    </w:p>
    <w:p>
      <w:pPr>
        <w:spacing w:after="0" w:line="5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industry has recognized the value of the traditional waste stream as a potential resource. Research and development activities are ongoing to provide disposal alternatives that maximize the value of waste, including using waste as a source for renewable energy and other valuable by-products. We and many other companies are investing in and/or developing these new technologies. It is possible that such investments and technological advancements may reduce the cost of waste disposal or the value of landfill gas recovery to a level below our costs and may reduce the demand for landfill space. As a result, our revenues and margins could be adversely affected due to advancements in disposal alternatives.</w:t>
      </w:r>
    </w:p>
    <w:p>
      <w:pPr>
        <w:spacing w:after="0" w:line="77"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develop new service offerings and protect intellectual property or if a competitor develops or obtains exclusive rights to a breakthrough technology, our financial results may suffer.</w:t>
      </w:r>
    </w:p>
    <w:p>
      <w:pPr>
        <w:spacing w:after="0" w:line="5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existing and proposed service offerings to customers require that we invest in, develop, license, and protect new technologies. Our Company is increasingly focusing on new technologies that automate and innovate our operations, improve the customer experience, provide alternatives to traditional disposal and maximize the resource value of waste. We are continuing our multi-year commitment to strategic investments in technology that prioritize the reduction of labor dependency for certain high-turnover jobs, further digitalize our customer self-service and implement technologies to further enhance the safety, reliability and efficiency of our operations. Research, development and implementation of enhanced technology often requires significant spending that may divert capital investment away from our traditional business operations. We may experience difficulties or delays in the research, development, production and/or marketing of new products and services or implementation of technologies in which we have invested or acquired, which may</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7"/>
          <w:szCs w:val="17"/>
          <w:color w:val="auto"/>
        </w:rPr>
        <w:t>negatively impact our operating results and prevent us from recouping or realizing a return on these investments and acquisitions. Further, protecting our intellectual property rights and combating unlicensed copying and use of intellectual property is difficult, and an inability to obtain or protect new technologies could impact our services to customers and the development of new revenue sources. We rely on a combination of patents and trade secrets to protect our intellectual property, as well as confidentiality and non-disclosure agreements with employees, contractors, and other third parties. We cannot guarantee that these measures will fully prevent unauthorized access or use. Furthermore, there is no assurance that current or future applications will result in issued patents or, if issued, will provide adequate protection against competitors. If a competitor develops or obtains exclusive rights to a “breakthrough technology” that provides a revolutionary change in our industry, or if we have inferior intellectual property to our competitors, our financial results may suffer.</w:t>
      </w:r>
    </w:p>
    <w:p>
      <w:pPr>
        <w:spacing w:after="0" w:line="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technology, and if our technology fails, our business would be adversely affected.</w:t>
      </w:r>
    </w:p>
    <w:p>
      <w:pPr>
        <w:spacing w:after="0" w:line="12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Company, our customers, and the economy in general are increasingly dependent on continuous information technology systems and digital tools to conduct operations. This dependence spans nearly all areas of our business, from overseeing and controlling critical infrastructure to processing and securing proprietary and sensitive information. The information technology systems and networks that we, our customers, suppliers, and other third parties rely on can be vulnerable to disruptions from cyberattacks, power failures, telecommunications outages, major events like natural disasters, acts of war or terrorism, employee errors, and other unexpected or uncontrollable occurrences. Should these systems be compromised or cease to function effectively, we may face substantial costs to repair or replace them, as well as potential liability, loss of crucial data, reputational harm, and interruptions to our services or operations.</w:t>
      </w:r>
    </w:p>
    <w:p>
      <w:pPr>
        <w:spacing w:after="0" w:line="8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Challenges in implementing new systems can also affect our ability to realize projected cost savings or other benefits. Significant system failures could impede our ability to timely collect and report financial results in accordance with applicable laws and regulations. Our post-acquisition efforts to integrate Stericycle’s technology and systems may result in substantial costs and uncertainties. Systems that increase our utilization of, and dependency on, third-party cloud computing services, and digital platforms to accommodate work-from-home arrangements, also increase various technology risks, including potential exposure to cyber incidents, loss of data, fraud, internal control challenges and other disruptions as a consequence of more employees accessing Company systems and information remotely in the course of their ordinary work.</w:t>
      </w:r>
    </w:p>
    <w:p>
      <w:pPr>
        <w:spacing w:after="0" w:line="80"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Inability to adapt to and manage the benefits and risks of artificial intelligence could expose us to liability or put us at a disadvantage.</w:t>
      </w:r>
    </w:p>
    <w:p>
      <w:pPr>
        <w:spacing w:after="0" w:line="5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Artificial intelligence could disrupt certain aspects of our business and change use of technology in ways that are not yet known. Artificial intelligence technologies are subject to a variety of laws, including intellectual property, privacy, data protection and cybersecurity, consumer protection, competition, and equal opportunity laws, and are expected to be subject to increased regulation and new laws or new applications of existing laws. Such laws and regulations may present a variety of compliance risks. The use of artificial intelligence may also result in litigation, ethical concerns, and other legal and business risks. If we are not able to adapt and effectively incorporate potential advantages of artificial intelligence in our business, it may negatively impact our ability to compete. If we are not able to effectively manage the risks of artificial intelligence, we may suffer harm to our results of operations and reputation.</w:t>
      </w:r>
    </w:p>
    <w:p>
      <w:pPr>
        <w:spacing w:after="0" w:line="80"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cybersecurity incidents may negatively impact our business and our relationships with customers, vendors and employees and expose us to increased liability.</w:t>
      </w:r>
    </w:p>
    <w:p>
      <w:pPr>
        <w:spacing w:after="0" w:line="5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Substantially all aspects of our business operations rely on digital technology. We use computers, mobile devices, social networking and other online platforms to connect with our employees, customers, vendors, as well as other individuals and third parties. These uses give rise to cybersecurity risks, including security breach, ransomware, espionage, system disruption, theft and/or inadvertent, accidental, unlawful, unauthorized access, loss, alteration, destruction and/or disclosure or release of information. Our business necessitates the processing, collection, use, storage and transmission of numerous classes of sensitive and/or confidential information and intellectual property, including individuals’ personal information, private and sensitive employment-related personal information, and financial and strategic information about the Company and other businesses. In addition to our own safeguarding efforts, we also rely on third parties to process, collect and store sensitive data, including a Payment Card Industry compliant third-party to protect our customers’ credit card information. We are regularly the target of attempted cyber intrusions, have experienced cyber intrusions, and we anticipate continuing to be subject to such attempts as cyber intrusions become increasingly sophisticated and more difficult to predict and protect against. Geopolitical conflicts and developments and technological advancements also</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increase the risk and likelihood of cyber incidents. As such, we must commit substantial resources to continuously monitor and further develop our networks and infrastructure to prevent, detect, and address the risk of unauthorized access, misuse, computer viruses and other events. These protections and other systems designed to mitigate cybersecurity risks may not fully defend against an attack or future cybersecurity incident, which can be unpredictable in nature.</w:t>
      </w:r>
    </w:p>
    <w:p>
      <w:pPr>
        <w:spacing w:after="0" w:line="7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Additionally, we cannot assure that any security measures that our third-party service providers have implemented will be effective against current or future security threats. We also cannot guarantee that our systems and networks or those of our third-party service providers or the equipment and related third-party software that we use to operate our network have not been breached or otherwise compromised, or that they and any software in our or their supply chains do not contain bugs, vulnerabilities, or compromised code that could result in a breach of, or disruption to, our systems and networks or the systems and networks of third parties that support us and our services.</w:t>
      </w:r>
    </w:p>
    <w:p>
      <w:pPr>
        <w:spacing w:after="0" w:line="7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Although we believe that the probability of occurrence of a significant cybersecurity incident is less than likely, if such an incident were to occur, the impact on the Company could be substantial. The magnitude of future cyber intrusions that result in a theft, destruction, loss, misappropriation, or release of sensitive and/or confidential information (belonging to us or third parties) or intellectual property, or material interference with our information technology systems or the technology systems of third parties on which we rely cannot be predicted, such incidents could result in material business disruption, direct financial loss, remediation costs, negative publicity, brand damage, alleged violation of privacy laws, loss of customers, potential regulatory investigations and enforcement or private litigation liability and competitive disadvantage. To mitigate these risks, we maintain a cybersecurity insurance policy; however, due to policy terms, limits and exclusions, such insurance may not apply in all cases, and it may not be adequate to cover all liabilities incurred. Regulatory enforcement action concerning privacy infringement and security incidents is generally increasing, including significant fines recently imposed by European regulators. With the acquisition of Stericycle, we may be subject to short notification deadlines in international jurisdictions in the event of a significant cybersecurity incident that impacts us globally; it may not be possible for us to comply with such notification deadlines due to the time required to conduct investigations and assess the impact of such incident. Failure to comply with applicable laws and regulatory deadlines could attract enforcement action, penalties, litigation, investigations, proceedings, reputational harm and brand damage.</w:t>
      </w:r>
    </w:p>
    <w:p>
      <w:pPr>
        <w:spacing w:after="0" w:line="8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the Company pursues its strategy to grow through acquisitions, including the acquisition of Stericycle, and to pursue new initiatives that improve our operations and cost structure, the Company is also expanding and improving its information technologies, resulting in a larger technological presence, utilization of cloud computing services, and corresponding exposure to cybersecurity risk. Certain new technologies, such as the use of autonomous vehicles, remote-controlled equipment, virtual reality, automation and artificial intelligence, present new and significant cybersecurity safety risks that must be analyzed and addressed before implementation. If we fail to assess and identify cybersecurity risks associated with acquisitions and new initiatives, we may become increasingly vulnerable to such risks.</w:t>
      </w:r>
    </w:p>
    <w:p>
      <w:pPr>
        <w:spacing w:after="0" w:line="8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Increased state, federal and international laws and regulations related to cybersecurity protections and disclosures will require additional resources for compliance, and any inability, or perceived inability, to adequately address new requirements could subject us to regulatory enforcement, private litigation, public criticism, disrupt our operations, cause us to lose customers, result in additional costs and legal liability, damage our reputation, and otherwise harm our business.</w:t>
      </w:r>
    </w:p>
    <w:p>
      <w:pPr>
        <w:spacing w:after="0" w:line="68"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regulatory focus on privacy and data protection issues and expanding laws could negatively impact our business, subject us to criticism and expose us to increased liability.</w:t>
      </w:r>
    </w:p>
    <w:p>
      <w:pPr>
        <w:spacing w:after="0" w:line="51" w:lineRule="exact"/>
        <w:rPr>
          <w:sz w:val="20"/>
          <w:szCs w:val="20"/>
          <w:color w:val="auto"/>
        </w:rPr>
      </w:pPr>
    </w:p>
    <w:p>
      <w:pPr>
        <w:jc w:val="both"/>
        <w:ind w:left="60" w:right="59" w:firstLine="324"/>
        <w:spacing w:after="0" w:line="273" w:lineRule="auto"/>
        <w:rPr>
          <w:sz w:val="20"/>
          <w:szCs w:val="20"/>
          <w:color w:val="auto"/>
        </w:rPr>
      </w:pPr>
      <w:r>
        <w:rPr>
          <w:rFonts w:ascii="Times New Roman" w:cs="Times New Roman" w:eastAsia="Times New Roman" w:hAnsi="Times New Roman"/>
          <w:sz w:val="17"/>
          <w:szCs w:val="17"/>
          <w:color w:val="auto"/>
        </w:rPr>
        <w:t>The legislative and regulatory framework for security, privacy and data protection issues worldwide is rapidly evolving and becoming increasingly demanding and is likely to remain uncertain for the foreseeable future. We collect, use, share, retain, delete and otherwise process certain personal information and other sensitive information in connection with our operations and while providing services, including secure information destruction. We are subject to a variety of U.S. and international laws and regulations related to data privacy and the protection of confidential information, and we anticipate that regulation in this area will continue to expand. Applicable laws and regulations require disclosure and create other obligations for businesses that collect personal information and provide individual rights relating to personal information.</w:t>
      </w:r>
    </w:p>
    <w:p>
      <w:pPr>
        <w:spacing w:after="0" w:line="6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These laws and regulations are inconsistent across jurisdictions and are subject to evolving interpretations. Government officials, regulators, customers, privacy advocates and class action attorneys are increasingly scrutinizing how companies collect, process, use, store, share, transmit and destroy personal data. The continued emphasis on personal privacy and information security may result in customers requesting that we implement additional safeguards or controls. We must continually monitor the development and adoption of, and commit substantial time and resources to comply with,</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new and emerging laws and regulations and/ or expanded or novel interpretations of existing laws. Additionally, customers and regulators may seek to hold us responsible for the actions of third parties we work with, such as sub-processors, vendors, or developers.</w:t>
      </w:r>
    </w:p>
    <w:p>
      <w:pPr>
        <w:spacing w:after="0" w:line="6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Any inability, or perceived inability, to adequately address privacy and data protection concerns, even if unfounded, or to comply with laws, regulations, policies, industry standards, contractual obligations, or other legal obligations, including through acquired companies or third parties, could subject us to regulatory enforcement, private litigation, public criticism, business disruption, loss of customers, additional costs and legal liability, reputational damage, and other harm.</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Legal, Regulatory and Compliance Risks</w:t>
      </w:r>
    </w:p>
    <w:p>
      <w:pPr>
        <w:spacing w:after="0" w:line="117"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environmental, health and safety laws and regulations, as well as contractual obligations that may result in significant liabilities.</w:t>
      </w:r>
    </w:p>
    <w:p>
      <w:pPr>
        <w:spacing w:after="0" w:line="5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There is risk of incurring significant environmental liabilities in the use, treatment, storage, transfer, processing and disposal or destruction of waste materials. Under applicable environmental laws and regulations, we could be liable if it is alleged that our operations cause environmental damage to our properties or to the property of other landowners, particularly as a result of the contamination of air, drinking water or soil. Under current law, we could also be held liable for damage caused by conditions that existed before we acquired the assets or operations involved and for conditions resulting from waste types or compounds previously considered non-hazardous but later determined to present possible threat to public health or the environment. The risks of successor liability and emerging contaminants are of particular concern as we execute our growth strategy, partially through acquisitions, because we may be unsuccessful in identifying and assessing potential liabilities during our due diligence investigations. Further, the counterparties in such transactions may be unable to perform their indemnification obligations owed to us. Any substantial liability for environmental damage could have a material adverse effect on our financial condition, results of operations and cash flows.</w:t>
      </w:r>
    </w:p>
    <w:p>
      <w:pPr>
        <w:spacing w:after="0" w:line="8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have in the past, we are currently, and we may in the future, become involved in legal and administrative proceedings relating to land use and environmental laws and regulations. These include proceedings in which governmental entities, private groups or individuals seek to impose liability on us for alleged environmental damage or violation of statutes or desire to revoke or deny permits required for our operations. 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8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Further,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 Costs to remediate or restore the condition of closed sites may be significant.</w:t>
      </w:r>
    </w:p>
    <w:p>
      <w:pPr>
        <w:spacing w:after="0" w:line="68" w:lineRule="exact"/>
        <w:rPr>
          <w:sz w:val="20"/>
          <w:szCs w:val="20"/>
          <w:color w:val="auto"/>
        </w:rPr>
      </w:pPr>
    </w:p>
    <w:p>
      <w:pPr>
        <w:jc w:val="both"/>
        <w:ind w:left="18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sustainability growth strategy includes significant planned and ongoing investments in our WM Renewable Energy segment; changes to federal and state renewable fuel policies could affect our financial performance, and such investments may not yield the results anticipated.</w:t>
      </w:r>
    </w:p>
    <w:p>
      <w:pPr>
        <w:spacing w:after="0" w:line="6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primary drivers of renewable fuel development at our landfills are tax policies, such as the federal tax credits for RNG production and renewable electricity generation under the IRA, and federal and state incentive programs, such as the federal Renewable Fuel Standard (“RFS”) program, the California Low Carbon Fuel Standard and similar state programs that promote the production and use of renewable transportation fuels. At the federal level, oil refiners and importers are required through the RFS program to blend specified volumes of renewable transportation fuels with gasoline or buy RINs, from renewable fuel producers. The Company has invested, and continues to invest, in facilities that capture and process landfill gas into RNG so that we can participate in the RFS program, and the Company has grown and stated its intention to continue to grow its asset base to increase its RNG production.</w:t>
      </w:r>
    </w:p>
    <w:p>
      <w:pPr>
        <w:spacing w:after="0" w:line="84" w:lineRule="exact"/>
        <w:rPr>
          <w:sz w:val="20"/>
          <w:szCs w:val="20"/>
          <w:color w:val="auto"/>
        </w:rPr>
      </w:pPr>
    </w:p>
    <w:p>
      <w:pPr>
        <w:jc w:val="both"/>
        <w:ind w:left="60" w:right="59" w:firstLine="324"/>
        <w:spacing w:after="0" w:line="273" w:lineRule="auto"/>
        <w:rPr>
          <w:sz w:val="20"/>
          <w:szCs w:val="20"/>
          <w:color w:val="auto"/>
        </w:rPr>
      </w:pPr>
      <w:r>
        <w:rPr>
          <w:rFonts w:ascii="Times New Roman" w:cs="Times New Roman" w:eastAsia="Times New Roman" w:hAnsi="Times New Roman"/>
          <w:sz w:val="17"/>
          <w:szCs w:val="17"/>
          <w:color w:val="auto"/>
        </w:rPr>
        <w:t>RINs prices generally respond to regulations enacted by the EPA, as well as fluctuations in supply and demand. The value of the RINs is set through a market established by the RFS program, which market has historically been very volatile. The new U.S. presidential administration could seek to reduce existing renewable fuel targets in a new rulemaking or otherwise set reduced targets for renewable fuels under the RFS program in future rulemakings. Moreover, consistent with its prior approach, the new administration may also increase the frequency with which it grants small refinery exemptions from RFS program requirements. While we cannot predict what actions the new administration may take with respect to the RFS program, any changes to existing or future renewable fuel targets or more frequent approval of requests for small</w:t>
      </w:r>
    </w:p>
    <w:p>
      <w:pPr>
        <w:sectPr>
          <w:pgSz w:w="11900" w:h="16838" w:orient="portrait"/>
          <w:cols w:equalWidth="0" w:num="1">
            <w:col w:w="9019"/>
          </w:cols>
          <w:pgMar w:left="1440" w:top="60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refinery exemptions could have a significant negative impact on demand for renewable fuels and the value of RINs. See Item 1. </w:t>
      </w:r>
      <w:r>
        <w:rPr>
          <w:rFonts w:ascii="Times New Roman" w:cs="Times New Roman" w:eastAsia="Times New Roman" w:hAnsi="Times New Roman"/>
          <w:sz w:val="18"/>
          <w:szCs w:val="18"/>
          <w:i w:val="1"/>
          <w:iCs w:val="1"/>
          <w:color w:val="auto"/>
        </w:rPr>
        <w:t>Business – Regulation – Recent Developments and Focus Areas in Policy and Regulation – WM Renewable Energy</w:t>
      </w:r>
      <w:r>
        <w:rPr>
          <w:rFonts w:ascii="Times New Roman" w:cs="Times New Roman" w:eastAsia="Times New Roman" w:hAnsi="Times New Roman"/>
          <w:sz w:val="18"/>
          <w:szCs w:val="18"/>
          <w:color w:val="auto"/>
        </w:rPr>
        <w:t xml:space="preserve"> for additional information. Changes and volatility in the RINs market, or changes in the structure of the RFS program or other clean fuel standard programs, can and has impacted the financial performance of our facilities. Such changes could impact or alter our projected future investments, and such investments may not yield the results anticipated.</w:t>
      </w:r>
    </w:p>
    <w:p>
      <w:pPr>
        <w:spacing w:after="0" w:line="71"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climate change, and the adoption of climate change legislation or regulations restricting emissions of GHGs, could increase our costs to operate.</w:t>
      </w:r>
    </w:p>
    <w:p>
      <w:pPr>
        <w:spacing w:after="0" w:line="51" w:lineRule="exact"/>
        <w:rPr>
          <w:sz w:val="20"/>
          <w:szCs w:val="20"/>
          <w:color w:val="auto"/>
        </w:rPr>
      </w:pPr>
    </w:p>
    <w:p>
      <w:pPr>
        <w:jc w:val="both"/>
        <w:ind w:left="60" w:right="79" w:firstLine="324"/>
        <w:spacing w:after="0" w:line="289" w:lineRule="auto"/>
        <w:rPr>
          <w:sz w:val="20"/>
          <w:szCs w:val="20"/>
          <w:color w:val="auto"/>
        </w:rPr>
      </w:pPr>
      <w:r>
        <w:rPr>
          <w:rFonts w:ascii="Times New Roman" w:cs="Times New Roman" w:eastAsia="Times New Roman" w:hAnsi="Times New Roman"/>
          <w:sz w:val="17"/>
          <w:szCs w:val="17"/>
          <w:color w:val="auto"/>
        </w:rPr>
        <w:t>We continue to assess the physical risks, such as sea-level rise, catastrophic storms and other extreme weather conditions and long-term shifts in climate patterns, and transition risks, such as regulatory, market, policy, and technology changes, to our operations from the effects of climate change. These risks are expected to be unpredictable and widespread.</w:t>
      </w:r>
    </w:p>
    <w:p>
      <w:pPr>
        <w:spacing w:after="0" w:line="5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Although we have made investments to mitigate risk associated with severe storm events, damage to our facilities or disruption of service caused by more frequent or more severe storms associated with climate extremes could negatively impact operating results. We have also identified risk to our assets and our employees associated with drought or water scarcity, flooding, extreme heat and rain events, and fire conditions associated with climate change. For example, wildfires influenced by climate change can damage landfill infrastructure such as gas collection systems, and extreme rain events and flooding in low-lying areas enhanced by sea level rise can result in greater maintenance expenses at our facilities, service disruption, erosion of the protective vegetative caps on our landfills and increased volumes of leachate to manage. Those areas of the country most prone to these occurrences have protocols in place, or are developing protocols to address these conditions, including employee safety, driver training, and equipment and facility protection protocols. We have incurred and will incur costs to develop and implement these protocols, and these protocols may not be effective in offsetting these risks. Additionally, the actions of others in response to climate change effects, such as rolling power blackouts, can result in service disruptions and increase our costs to operate.</w:t>
      </w:r>
    </w:p>
    <w:p>
      <w:pPr>
        <w:spacing w:after="0" w:line="8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landfill operations emit methane, identified as a GHG. Existing technology presents challenges to our ability to quantify landfill emissions precisely. Ongoing review by government agencies of emerging methane measurement technologies and related regulatory developments could result in changes to how we have historically reported GHG emissions and may result in increases in such emissions reported for our operations. Such regulatory developments could also result in increased compliance costs and adversely affect our operations. Specifically, see Item 1. </w:t>
      </w:r>
      <w:r>
        <w:rPr>
          <w:rFonts w:ascii="Times New Roman" w:cs="Times New Roman" w:eastAsia="Times New Roman" w:hAnsi="Times New Roman"/>
          <w:sz w:val="18"/>
          <w:szCs w:val="18"/>
          <w:i w:val="1"/>
          <w:iCs w:val="1"/>
          <w:color w:val="auto"/>
        </w:rPr>
        <w:t>Business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Regulation – Recent Developments and Focus Areas in Policy and Regulation – Climate and Sustainability </w:t>
      </w:r>
      <w:r>
        <w:rPr>
          <w:rFonts w:ascii="Times New Roman" w:cs="Times New Roman" w:eastAsia="Times New Roman" w:hAnsi="Times New Roman"/>
          <w:sz w:val="18"/>
          <w:szCs w:val="18"/>
          <w:color w:val="auto"/>
        </w:rPr>
        <w:t>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8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Meanwhile, a number of legislative and regulatory efforts at the state, provincial, regional and federal levels and internationally aim to cap and/or curtail the emission of GHGs to ameliorate the effect of climate change, and otherwise to promote adaptation to climate change, support the transition to a low-carbon economy, and require disclosure of climate-related matters. We continue to monitor these efforts and the potential impacts to our operations. Should comprehensive federal climate change legislation be enacted, we expect it could impose operational and compliance costs that might not be offset by the revenue increases associated with our lower-carbon service options, the materiality of which we cannot predict. Climate change laws and regulations could also result in increased operational costs or disruption to the business of our customers, potentially impacting our operations and financial condition. We could experience damage to our reputation and brand, including as a result of a failure or perceived failure to respond responsibly and effectively to changes in legal and regulatory measures adopted to address climate change.</w:t>
      </w:r>
    </w:p>
    <w:p>
      <w:pPr>
        <w:spacing w:after="0" w:line="190" w:lineRule="exact"/>
        <w:rPr>
          <w:sz w:val="20"/>
          <w:szCs w:val="20"/>
          <w:color w:val="auto"/>
        </w:rPr>
      </w:pPr>
    </w:p>
    <w:p>
      <w:pPr>
        <w:jc w:val="both"/>
        <w:ind w:left="18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an effective system of internal control over financial reporting, due to technology issues, difficulties integrating Stericycle’s operations and systems, or otherwise, could adversely affect our ability to provide accurate and timely financial statements, which may harm our business and reputation.</w:t>
      </w:r>
    </w:p>
    <w:p>
      <w:pPr>
        <w:spacing w:after="0" w:line="6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It is critical that we maintain an effective system of internal control over financial reporting. As described further in Item 9A. Controls and Procedures, in accordance with SEC staff guidance, we have excluded Stericycle from the assessment of the effectiveness of our internal control over financial reporting as of December 31, 2024 contained in this Annual Report on Form 10-K; however, this exclusion may not extend beyond one year from the November 4, 2024 closing date. We are in the process of integrating Stericycle’s operations and systems to ensure the effectiveness of the internal control over financial reporting for this acquired business.</w:t>
      </w:r>
    </w:p>
    <w:p>
      <w:pPr>
        <w:spacing w:after="0" w:line="7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Establishing, testing and maintaining an effective system of internal control over financial reporting requires significant resources and time commitments on the part of our management and our finance staff, and the time and</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expenditures needed may exceed our expectations. If we encounter issues with technology systems or difficulties integrating Stericycle’s operations and systems into our system of internal control over financial reporting, and if we are unable to correct any issues encountered in a timely manner, our ability to record, process, summarize, and report financial data may be adversely affected, which may impact the accuracy, quality and completeness of our financial statements. Such failure could materially and adversely impact our business and subject us to potential investigations, liability, and penalties. Additionally, if we are unable to conclude that our internal control over financial reporting is effective in any future period (or if our auditors are unable to express an opinion on the effectiveness of our internal controls or conclude that our internal controls are ineffective), we could lose investor confidence and suffer an adverse effect on our stock price.</w:t>
      </w:r>
    </w:p>
    <w:p>
      <w:pPr>
        <w:spacing w:after="0" w:line="80"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significant fines and penalties, and our reputation could be adversely affected, if we or third parties with whom we have a relationship fail to comply with U.S. or foreign laws or regulations.</w:t>
      </w:r>
    </w:p>
    <w:p>
      <w:pPr>
        <w:spacing w:after="0" w:line="5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It is our policy to comply with all applicable anti-bribery laws, such as the U.S. Foreign Corrupt Practices Act (“FCPA”), and with applicable local laws of the foreign countries in which we operate, and we monitor our local partners’ compliance with such laws as well. Our reputation may be adversely affected if we were reported to be associated with corrupt practices or if we or our local partners failed to comply with such laws. Additionally, violations of such laws could subject us to significant fines and penalties.</w:t>
      </w:r>
    </w:p>
    <w:p>
      <w:pPr>
        <w:spacing w:after="0" w:line="7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Under previously reported settlements with governmental authorities relating to Stericycle’s compliance with the FCPA and other anti-corruption laws with respect to now-divested operations in Latin America, Stericycle engaged an independent compliance monitor for two years and is required to undertake compliance with self-reporting obligations for an additional year through November 2025. Other matters may arise in the future involving alleged violations of the FCPA, other anti-corruption and anti-bribery laws, or laws prohibiting doing business with sanctioned parties. These could subject us to enforcement actions, fines, penalties, further oversight by an independent compliance monitor and/or self-reporting obligations, litigation, or orders of suspension or debarment, which could adversely affect our business, financial condition and results of operations.</w:t>
      </w:r>
    </w:p>
    <w:p>
      <w:pPr>
        <w:spacing w:after="0" w:line="80"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Currently pending or future litigation or governmental proceedings could result in material adverse consequences, including judgments or settlements.</w:t>
      </w:r>
    </w:p>
    <w:p>
      <w:pPr>
        <w:spacing w:after="0" w:line="5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a large company with extensive operations, we are subject to various proceedings, lawsuits, disputes and claims arising in the ordinary course of our business, including governmental proceedings. Actions that have been filed against us, and that may be filed against us in the future, include personal injury, property damage, commercial, customer, and employment-related claims, including purported state and national class action lawsuits related to:</w:t>
      </w:r>
    </w:p>
    <w:p>
      <w:pPr>
        <w:spacing w:after="0" w:line="18" w:lineRule="exact"/>
        <w:rPr>
          <w:sz w:val="20"/>
          <w:szCs w:val="20"/>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alleged environmental contamination, including releases of hazardous materials and odors;</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practices, customer service agreements, prices and fees; and</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wage and hour and other laws.</w:t>
      </w:r>
    </w:p>
    <w:p>
      <w:pPr>
        <w:spacing w:after="0" w:line="11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6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Stericycle is, and has been, involved in government investigations, enforcement proceedings, private lawsuits and other disputes alleging noncompliance with applicable regulations, including alleged noncompliance with the Controlled Substances Act and other statutes involving its now-divested Domestic Environmental Solutions business of collecting, transporting, and destroying controlled substances from retail customers. With the acquisition of Stericycle, these matters may result in adverse consequences, including permit revocations or denials and civil, criminal and administrative penalties.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17"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capital requirements and our business strategy could increase our expenses, cause us to change our growth and development plans, or result in an inability to maintain our desired credit profile.</w:t>
      </w:r>
    </w:p>
    <w:p>
      <w:pPr>
        <w:spacing w:after="0" w:line="51"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If economic conditions or other risks and uncertainties cause a significant reduction in our cash flows from operations, we may reduce or suspend capital expenditures, growth and acquisition activity, implementation of our business strategy, dividend declarations or share repurchases. We may choose to incur indebtedness to pay for these activities, although our access to capital markets is not assured and we may not be able to incur indebtedness at a cost that is consistent with current borrowing rates. We also may need to incur indebtedness to refinance scheduled debt maturities, and it is possible that the cost of financing could increase significantly, thereby increasing our expenses and decreasing our net income. Macroeconomic pressures, including inflation and rising interest rates, and market disruption are continuing. The U.S. government’s future actions regarding its debt ceiling and any possibility that the U.S. could default on its debt obligations could cause further interest rate increases, disrupt access to capital markets and trigger recessionary conditions. Further, our ability to execute our financial strategy, manage interest rate exposure and incur indebtedness is somewhat dependent upon our ability to maintain investment grade credit ratings on our senior debt. The credit rating process is contingent upon our credit profile and several other factors, many of which are beyond our control, including methodologies established and interpreted by third-party rating agencies. An important factor in our credit ratings is our leverage. We have communicated the Company’s expectation that our leverage will return to targeted levels about 18 months after the November 2024 acquisition of Stericycle. If we do not achieve our projected reduction in leverage, it could negatively impact our credit ratings. If we were unable to maintain our investment grade credit ratings in the future, our interest expense would increase and our ability to obtain financing on favorable terms could be adversely affected. We have $2.7 billion of debt as of December 31, 2024 that is exposed to changes in market interest rates within the next 12 months, associated with our commercial paper borrowings and tax-exempt bonds. If interest rates increase, our interest expense would also increase, lowering our net income and decreasing our cash flow.</w:t>
      </w:r>
    </w:p>
    <w:p>
      <w:pPr>
        <w:spacing w:after="0" w:line="8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may use our $3.5 billion long-term U.S. and Canadian revolving credit facility (“$3.5 billion revolving credit facility”) to meet our cash needs, to the extent available, until maturity in May 2029. As of December 31, 2024, we had no outstanding borrowings under this facility. We had $1.2 billion of outstanding borrowings (net of related discount on issuance) under our commercial paper program and $224 million of letters of credit issued, both supported by this facility, leaving unused and available credit capacity of $2.1 billion as of December 31, 2024. In the event of a default under our $3.5 billion revolving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lenders party to those agreements, any such default would have a material adverse effect on our ability to operate.</w:t>
      </w:r>
    </w:p>
    <w:p>
      <w:pPr>
        <w:spacing w:after="0" w:line="76"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the costs of obtaining adequate financial assurance, or the inadequacy of our insurance coverages, could negatively impact our liquidity and increase our liabilities.</w:t>
      </w:r>
    </w:p>
    <w:p>
      <w:pPr>
        <w:spacing w:after="0" w:line="5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amount of insurance we are required to maintain for environmental liability is governed by statutory requirements. We also carry a broad range of other insurance coverages that are customary for a company our size. To the extent our obligations for claims are more than we estimated, our insurance coverage is inadequate to cover our obligations, or our insurers are unable to meet their obligations, the requirement that we pay such obligations could have a material adverse effect on our financial results.</w:t>
      </w:r>
    </w:p>
    <w:p>
      <w:pPr>
        <w:spacing w:after="0" w:line="7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addition, to fulfill our financial assurance obligations with respect to variable-rate tax-exempt debt, and final capping, closure, post-closure and environmental remediation obligations, we generally obtain letters of credit or surety bonds, rely on insurance, including captive insurance, fund trust and escrow accounts or rely upon WMI financial guarantees. Our financial position, which can be negatively affected by asset impairments, our credit profile and general economic factors, may increase the cost of our current financial assurance instruments, and changes in regulations may impose stricter requirements on the types of financial assurance that will be accepted.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required to deposit cash to collateralize certain obligations, which could negatively impact our liquidity.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record material charges against our earnings due to impairments to our assets.</w:t>
      </w:r>
    </w:p>
    <w:p>
      <w:pPr>
        <w:spacing w:after="0" w:line="12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Events that have in the past and may in the future lead to an impairment include, but are not limited to, shutting down a facility or operation, abandoning a development project, project cost overruns or the denial of an expansion permit. Additionally, declining waste volumes and development of, and customer preference for, alternatives to traditional waste disposal could warrant asset impairments. If we determine an asset or expansion project is impaired, we will charge against earnings any unamortized capitalized expenditures and advances relating to such asset or project reduced by any portion of the capitalized costs that we estimate will be recoverable, through sale or otherwise. We also carry a significant amount of goodwill on our Consolidated Balance Sheets, which is required to be assessed for impairment annually, and more frequently in the case of certain triggering events. We have in the past and may in the future be required to incur charges against earnings if such impairment tests indicate that the fair value of a reporting unit is below its carrying amount. Any such charges could have a material adverse effect on our results of operations.</w:t>
      </w:r>
    </w:p>
    <w:p>
      <w:pPr>
        <w:spacing w:after="0" w:line="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could face significant liabilities for withdrawal from Multiemployer Pension Plans.</w:t>
      </w:r>
    </w:p>
    <w:p>
      <w:pPr>
        <w:spacing w:after="0" w:line="12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are a participating employer in a number of trustee-managed multiemployer defined benefit pension plans (“Multiemployer Pension Plans”) for employees who are covered by collective bargaining agreements. In the event of our withdrawal from a Multiemployer Pension Plan, we may incur expenses associated with our obligations for unfunded vested benefits at the time of the withdrawal. Depending on various factors, including potential legislative changes, future withdrawals could have a material adverse effect on results of operations or cash flows for a particular reporting period, and our ongoing costs of participation in Multiemployer Pension Plans may increase. See Notes 9 and 10 to the Consolidated Financial Statements for more information related to our participation in Multiemployer Pension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Strategy, Governance and Risk Management</w:t>
      </w:r>
    </w:p>
    <w:p>
      <w:pPr>
        <w:spacing w:after="0" w:line="17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212529"/>
        </w:rPr>
        <w:t xml:space="preserve">Our Technology Risk Program is designed to proactively identify, monitor, and mitigate technology-related risks across our digital operations and assess cybersecurity risks related to third-party vendors and suppliers. Our Cybersecurity Program and our Technology Risk Program are led by our Chief Information Security Officer (“CISO”) a Certified Information Systems Security Professional with two decades of cybersecurity leadership. The CISO and his team are responsible for leading enterprise-wide cybersecurity strategy, policy, standards, architecture and processes. The Technology Risk Oversight Committee chaired by our CISO, with members representing leadership throughout our Company, provides oversight and guidance to technology risks, including cybersecurity. Our Company’s Cybersecurity Program is designed to align with the National Institute of Standards and Technology (“NIST”) Cybersecurity Framework and leading industry practices, and our Cybersecurity Program is integrated into our Company’s Enterprise Risk Management framework. Internal and external experts regularly evaluate our Cybersecurity Program, and the results of those reviews are reported to senior management and our Company’s Board of Directors. Our Incident Response Committee, which is comprised of leaders in the areas of information security, digital, legal, finance, privacy, compliance and ethics, corporate security and communications, is responsible for leading our Company’s response to cyber incidents. Our Cybersecurity Incident Response Plan outlines the processes by which management is informed about and monitors detection and mediation of cyber incidents. We actively engage with key vendors, industry participants, and intelligence and law enforcement communities as part of our continuing efforts to evaluate and enhance the effectiveness of our information security policies and procedures. </w:t>
      </w:r>
      <w:r>
        <w:rPr>
          <w:rFonts w:ascii="Times New Roman" w:cs="Times New Roman" w:eastAsia="Times New Roman" w:hAnsi="Times New Roman"/>
          <w:sz w:val="18"/>
          <w:szCs w:val="18"/>
          <w:color w:val="000000"/>
        </w:rPr>
        <w:t>We have a Data Protection Office that works closely with, and assists, our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enterprise Privacy Program, overseen by the Chief Privacy Officer, along with advisory support from appointed Data Protection Officers in Europe and Quebec.</w:t>
      </w:r>
    </w:p>
    <w:p>
      <w:pPr>
        <w:spacing w:after="0" w:line="123"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374151"/>
        </w:rPr>
        <w:t xml:space="preserve">While we have experienced cybersecurity threats and breaches targeting our information technology systems and networks and those of our third-party providers, including within the last three years, these incidents have not had a material impact on our Company, including our business strategy, results of operations or financial condition. </w:t>
      </w:r>
      <w:r>
        <w:rPr>
          <w:rFonts w:ascii="Times New Roman" w:cs="Times New Roman" w:eastAsia="Times New Roman" w:hAnsi="Times New Roman"/>
          <w:sz w:val="18"/>
          <w:szCs w:val="18"/>
          <w:color w:val="212529"/>
        </w:rPr>
        <w:t>Risks from</w:t>
      </w:r>
      <w:r>
        <w:rPr>
          <w:rFonts w:ascii="Times New Roman" w:cs="Times New Roman" w:eastAsia="Times New Roman" w:hAnsi="Times New Roman"/>
          <w:sz w:val="18"/>
          <w:szCs w:val="18"/>
          <w:color w:val="374151"/>
        </w:rPr>
        <w:t xml:space="preserve"> </w:t>
      </w:r>
      <w:r>
        <w:rPr>
          <w:rFonts w:ascii="Times New Roman" w:cs="Times New Roman" w:eastAsia="Times New Roman" w:hAnsi="Times New Roman"/>
          <w:sz w:val="18"/>
          <w:szCs w:val="18"/>
          <w:color w:val="212529"/>
        </w:rPr>
        <w:t xml:space="preserve">cybersecurity threats, including previous cybersecurity incidents encountered by the Company and known incidents encountered by third parties with a connection to the Company, are also not currently viewed as reasonably likely to materially impact our Company, including our business strategy, results of operations or financial condition. </w:t>
      </w:r>
      <w:r>
        <w:rPr>
          <w:rFonts w:ascii="Times New Roman" w:cs="Times New Roman" w:eastAsia="Times New Roman" w:hAnsi="Times New Roman"/>
          <w:sz w:val="18"/>
          <w:szCs w:val="18"/>
          <w:color w:val="000000"/>
        </w:rPr>
        <w:t>We are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regularly the target of attempted cyber intrusions, have experienced cyber intrusions, and we anticipate continuing to be subject to such attempts as cyber intrusions become increasingly sophisticated and more difficult to predict and protect against. Geopolitical conflicts and developments and technological advancements also increase the risk and likelihood of cyber incidents. As such, we must commit substantial resources to continuously monitor and further develop our networks and infrastructure to prevent, detect, and address the risk of unauthorized access, misuse, computer viruses and other events. Although we have implemented and maintain commercially reasonable security measures and safeguards, including to protect against and identify potential threats, these protections and other systems designed to mitigate cybersecurity risks may not fully defend against an attack or future cybersecurity incident, which can be unpredictable in nature. </w:t>
      </w:r>
      <w:r>
        <w:rPr>
          <w:rFonts w:ascii="Times New Roman" w:cs="Times New Roman" w:eastAsia="Times New Roman" w:hAnsi="Times New Roman"/>
          <w:sz w:val="18"/>
          <w:szCs w:val="18"/>
          <w:color w:val="212529"/>
        </w:rPr>
        <w:t>Although we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believe that the probability of occurrence of a significant cybersecurity incident is less than likely, if such an incident were to occur, the impact on the Company could be substantial. See Item 1A. </w:t>
      </w:r>
      <w:r>
        <w:rPr>
          <w:rFonts w:ascii="Times New Roman" w:cs="Times New Roman" w:eastAsia="Times New Roman" w:hAnsi="Times New Roman"/>
          <w:sz w:val="18"/>
          <w:szCs w:val="18"/>
          <w:i w:val="1"/>
          <w:iCs w:val="1"/>
          <w:color w:val="212529"/>
        </w:rPr>
        <w:t>Risk Factors</w:t>
      </w:r>
      <w:r>
        <w:rPr>
          <w:rFonts w:ascii="Times New Roman" w:cs="Times New Roman" w:eastAsia="Times New Roman" w:hAnsi="Times New Roman"/>
          <w:sz w:val="18"/>
          <w:szCs w:val="18"/>
          <w:color w:val="212529"/>
        </w:rPr>
        <w:t xml:space="preserve"> — </w:t>
      </w:r>
      <w:r>
        <w:rPr>
          <w:rFonts w:ascii="Times New Roman" w:cs="Times New Roman" w:eastAsia="Times New Roman" w:hAnsi="Times New Roman"/>
          <w:sz w:val="18"/>
          <w:szCs w:val="18"/>
          <w:i w:val="1"/>
          <w:iCs w:val="1"/>
          <w:color w:val="212529"/>
        </w:rPr>
        <w:t>Significant cybersecurity incidents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212529"/>
        </w:rPr>
        <w:t xml:space="preserve">negatively impact our business and our relationships with customers, vendors and employees and expose us to increased liability </w:t>
      </w:r>
      <w:r>
        <w:rPr>
          <w:rFonts w:ascii="Times New Roman" w:cs="Times New Roman" w:eastAsia="Times New Roman" w:hAnsi="Times New Roman"/>
          <w:sz w:val="18"/>
          <w:szCs w:val="18"/>
          <w:color w:val="212529"/>
        </w:rPr>
        <w:t>for additional discussion</w:t>
      </w:r>
      <w:r>
        <w:rPr>
          <w:rFonts w:ascii="Times New Roman" w:cs="Times New Roman" w:eastAsia="Times New Roman" w:hAnsi="Times New Roman"/>
          <w:sz w:val="18"/>
          <w:szCs w:val="18"/>
          <w:color w:val="000000"/>
        </w:rPr>
        <w:t>.</w:t>
      </w:r>
    </w:p>
    <w:p>
      <w:pPr>
        <w:spacing w:after="0" w:line="1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Board Oversight</w:t>
      </w:r>
    </w:p>
    <w:p>
      <w:pPr>
        <w:spacing w:after="0" w:line="17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212529"/>
        </w:rPr>
        <w:t>Management has primary responsibility for risk management within our Company. The Company’s Board of Directors, with the support of its committees, oversees risk management to ensure that the processes designed, implemented and maintained by our executives are functioning as intended and adapted when necessary to respond to changes in our Company’s strategy as well as emerging risks. The Audit Committee of the Company’s Board of Directors has responsibility for oversight of information and cybersecurity risks and assessment of cyber threats and defenses. The Audit Committee receives reports on these matters from our most senior executives in the digital organization, including</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212529"/>
        </w:rPr>
        <w:t>our Chief Information Officer and CISO, and the Company’s executive officers, at least twice a year. Topics historically covered in such reports, and for which our Board exercises oversight, include third-party evaluation of our technology infrastructure and information security against the NIST cybersecurity framework; management of emerging cyber threats such as merger and acquisition activity and the adoption and governance of artificial intelligence; risk mitigation through the Company’s enterprise-wide cybersecurity training, including our Board of Directors, conducted at least annually; regular simulated phishing tests and third-party penetration testing; review of the Company’s cyber incident insurance coverage and external cyber incident resources; review of the Company’s Cybersecurity Incident Response Plan; review of readouts from cyber incident table top exercises; and consideration of applicable laws and regulations, including those related to privacy. The Company’s Cybersecurity Incident Response Plan includes a section on Board escalation that specifies the process for notification of the Chair of the Audit Committee and the Chair of the Board of the Directors upon certain triggering events, and that group then determines the appropriate form and frequency of communication with the full Audit Committee or Board of Directors, depending on the unique characteristics of the incident</w:t>
      </w:r>
      <w:r>
        <w:rPr>
          <w:rFonts w:ascii="Times New Roman" w:cs="Times New Roman" w:eastAsia="Times New Roman" w:hAnsi="Times New Roman"/>
          <w:sz w:val="18"/>
          <w:szCs w:val="18"/>
          <w:color w:val="000000"/>
        </w:rPr>
        <w:t>.</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in Houston, Texas where we lease approximately 285,000 square feet under a lease expiring in 2035. We also have administrative offices in Arizona, Connecticut, Illinois, India and parts of Western Europe. We own or lease real property in most locations where we have operations or administrative functions. We have operations (i) in all 50 states; (ii) in the District of Columbia; (iii) parts of Canada and (iv) parts of Western Europe.</w:t>
      </w:r>
    </w:p>
    <w:p>
      <w:pPr>
        <w:spacing w:after="0" w:line="180" w:lineRule="exact"/>
        <w:rPr>
          <w:sz w:val="20"/>
          <w:szCs w:val="20"/>
          <w:color w:val="auto"/>
        </w:rPr>
      </w:pPr>
    </w:p>
    <w:p>
      <w:pPr>
        <w:jc w:val="both"/>
        <w:ind w:left="60" w:right="59" w:firstLine="369"/>
        <w:spacing w:after="0" w:line="253" w:lineRule="auto"/>
        <w:rPr>
          <w:sz w:val="20"/>
          <w:szCs w:val="20"/>
          <w:color w:val="auto"/>
        </w:rPr>
      </w:pPr>
      <w:r>
        <w:rPr>
          <w:rFonts w:ascii="Times New Roman" w:cs="Times New Roman" w:eastAsia="Times New Roman" w:hAnsi="Times New Roman"/>
          <w:sz w:val="18"/>
          <w:szCs w:val="18"/>
          <w:color w:val="auto"/>
        </w:rPr>
        <w:t xml:space="preserve">Our principal property and equipment consist of land (primarily landfills and other disposal facilities, transfer stations and bases for collection operations), buildings, vehicles and equipment. We believe that our operating properties, vehicles and equipment are adequately maintained and sufficient for our current operations. However, we expect to continue to make investments in additional property and equipment for expansion, for the replacement of aging assets and investment in assets that support our strategy of continuous improvement through efficiency and innovation. In addition, we continue to make progress on our planned investments to expand our Recycling Processing and Sales and WM Renewable Energy segments. As of December 31, 2024, we had 102 landfill gas beneficial use projects producing commercial quantities of methane gas at owned or operated landfills. For 65 of these projects, the processed gas is used to fuel electricity generators. The electricity is then sold to public utilities, municipal utilities or power cooperatives. For 23 of these projects, the gas is used at the landfill or delivered by pipeline to industrial customers as a direct substitute for fossil fuels in industrial processes. For 11 of these projects, the landfill gas is processed to pipeline quality RNG and then sold to natural gas suppliers. Additionally, three of these projects are on third-party landfills. For more information, see Item 7.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w:t>
      </w:r>
      <w:r>
        <w:rPr>
          <w:rFonts w:ascii="Times New Roman" w:cs="Times New Roman" w:eastAsia="Times New Roman" w:hAnsi="Times New Roman"/>
          <w:sz w:val="18"/>
          <w:szCs w:val="18"/>
          <w:color w:val="auto"/>
        </w:rPr>
        <w:t>included within this report.</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various operations as of December 31:</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2024(a)</w:t>
            </w: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Landfills owned or operated</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stations (a)(b)</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facilities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Autoclave or alternative medical waste treatment facilities (b)</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waste incinerator facilities (b)</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 information destruction processing facilities (b)</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9" w:lineRule="exact"/>
        <w:rPr>
          <w:sz w:val="20"/>
          <w:szCs w:val="20"/>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167 transfer stations in 2024 that are related to our WM Healthcare Solutions segment.</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35 Spain and Portugal locations consisting of 19 transfer stations, 12 autoclave or alternative medical waste treatment facilities, 1 medical waste incinerator facility and 3 secure information destruction processing facilities which were classified as assets held for sale as of December 31, 2024. See Note 17 to the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our legal proceedings can be found under the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sections of Note 10 to the Consolidated Financial Statements included within this report.</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312" w:lineRule="auto"/>
        <w:rPr>
          <w:sz w:val="20"/>
          <w:szCs w:val="20"/>
          <w:color w:val="auto"/>
        </w:rPr>
      </w:pPr>
      <w:r>
        <w:rPr>
          <w:rFonts w:ascii="Times New Roman" w:cs="Times New Roman" w:eastAsia="Times New Roman" w:hAnsi="Times New Roman"/>
          <w:sz w:val="17"/>
          <w:szCs w:val="17"/>
          <w:color w:val="auto"/>
        </w:rPr>
        <w:t>Information concerning mine safety and other regulatory matters required by Section 1503(a) of the Dodd-Frank Wall Street Reform and Consumer Protection Act and Item 104 of Regulation S-K is included in Exhibit 95 to this annual report.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180" w:right="59" w:hanging="12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15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New York Stock Exchange (“NYSE”) under the symbol “WM.” The number of holders of record of our common stock on February 14, 2025 was 7,046.</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graph below shows the relative investment performance of Waste Management, Inc. common stock, the S&amp;P 500 Index and the Dow Jones Waste &amp; Disposal Services Index for the last five years, assuming reinvestment of dividends at date of payment into the common stock. The graph is presented pursuant to SEC rules and is not meant to be an indication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125730</wp:posOffset>
            </wp:positionV>
            <wp:extent cx="4749165" cy="2974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49165"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12/31/19</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6"/>
              </w:rPr>
              <w:t>12/31/23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12/31/24</w:t>
            </w:r>
          </w:p>
        </w:tc>
        <w:tc>
          <w:tcPr>
            <w:tcW w:w="20" w:type="dxa"/>
            <w:vAlign w:val="bottom"/>
          </w:tcPr>
          <w:p>
            <w:pPr>
              <w:spacing w:after="0"/>
              <w:rPr>
                <w:sz w:val="15"/>
                <w:szCs w:val="15"/>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Waste Management, Inc.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Pr>
          <w:p>
            <w:pPr>
              <w:spacing w:after="0"/>
              <w:rPr>
                <w:sz w:val="18"/>
                <w:szCs w:val="18"/>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18"/>
                <w:szCs w:val="18"/>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 Jones Waste &amp; Disposal Services Index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tcPr>
          <w:p>
            <w:pPr>
              <w:spacing w:after="0"/>
              <w:rPr>
                <w:sz w:val="18"/>
                <w:szCs w:val="18"/>
                <w:color w:val="auto"/>
              </w:rPr>
            </w:pPr>
          </w:p>
        </w:tc>
      </w:tr>
      <w:tr>
        <w:trPr>
          <w:trHeight w:val="864"/>
        </w:trPr>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07"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repurchases shares of its common stock as part of capital allocation programs authorized by our Board of Directors. Share repurchases are a part of our long-term strategy and incorporated into our overall capital allocation plan to enhance our Company’s performance, in conjunction with our other uses of capital, and to return value to stockholders in a tax-efficient manner. During 2024, we allocated an aggregate of $262 million to repurchase our common stock under accelerated share repurchase (“ASR”) agreements and open market transactions. As of December 31, 2024, we had received 1.5 million shares with a weighted average price per share of $196.95, exclusive of per-share commissions. As a result of the Stericycle acquisition, the Company has temporarily suspended share repurchases. We expect to resume share repurchases once the Company’s leverage returns to targeted levels, which is currently projected to be about 18 months after the November 2024 acquisition of Stericycle. See Note 13 to the Consolidated Financial Statements for additional information.</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common stock repurchases during the fourth quarter of 2024.</w:t>
      </w:r>
    </w:p>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This section includes a discussion of our results of operations for the three years ended December 31, 2024. This discussion may contain forward-looking statements. See “Cautionary Statement about Forward-Looking Statements” in Part I of this Annual Report on Form 10-K for more information. Forward-looking statements are subject to certain risks and uncertainties that could cause actual results to differ materially from our historical experience and our present expectations or anticipated results. These risks and uncertainties include, but are not limited to, those described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report and may also be described from time to time in our future reports filed with the U.S. Securities and Exchange Commission (“SEC”). The following discussion should be read considering those disclosures and together with the Consolidated Financial Statements and the notes thereto.</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primarily providing services throughout the United States (“U.S.”) and Canada. We partner with our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Our solid waste business is operated and managed locally by our subsidiaries that focus on distinct geographic areas and provide collection, transfer, disposal, recycling and resource recovery services. Through our subsidiaries, including our Waste Management Renewable Energy (“WM Renewable Energy”) segment, we are also a leading developer, operator and owner of landfill gas-to-energy facilities in the U.S. and Canada that produce renewable electricity and renewable natural gas, which is a significant source of fuel that we allocate to our natural gas fleet. Additionally, we are a leading recycler in the U.S. and Canada, handling materials that include paper, cardboard, glass, plastic and metal.</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Stericycle Acquisition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November 4, 2024, we completed our acquisition of all outstanding shares of Stericycle for $62.00 per share in cash, pursuant to an Agreement and Plan of Merger dated June 3, 2024. Total enterprise value of the acquisition was $7.2 billion (net of cash acquired) when including the assumption of $0.5 billion of debt and the repayment of approximately $0.8 billion of net debt. The acquisition expands our offerings in the U.S., Canada and parts of Western Europe. The post-closing operating results of Stericycle have been included in our Consolidated Financial Statements, as a new reportable segment referred to as WM Healthcare Solutions.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we incurred approximately $160 million of acquisition and integration related costs, which are primarily classified as “Selling, general and administrative expenses.” Refer to Note 19 for more information on the performance of our WM Healthcare Solutions segment.</w:t>
      </w:r>
    </w:p>
    <w:p>
      <w:pPr>
        <w:spacing w:after="0" w:line="176" w:lineRule="exact"/>
        <w:rPr>
          <w:sz w:val="20"/>
          <w:szCs w:val="20"/>
          <w:color w:val="auto"/>
        </w:rPr>
      </w:pPr>
    </w:p>
    <w:p>
      <w:pPr>
        <w:jc w:val="both"/>
        <w:ind w:left="60" w:right="59" w:firstLine="324"/>
        <w:spacing w:after="0" w:line="274" w:lineRule="auto"/>
        <w:rPr>
          <w:sz w:val="20"/>
          <w:szCs w:val="20"/>
          <w:color w:val="auto"/>
        </w:rPr>
      </w:pPr>
      <w:r>
        <w:rPr>
          <w:rFonts w:ascii="Times New Roman" w:cs="Times New Roman" w:eastAsia="Times New Roman" w:hAnsi="Times New Roman"/>
          <w:sz w:val="17"/>
          <w:szCs w:val="17"/>
          <w:color w:val="auto"/>
        </w:rPr>
        <w:t>Our senior management evaluates, oversees and manages the financial performance of our business through five reportable segments, referred to as (i) Collection and Disposal - East Tier (“East Tier”); (ii) Collection and Disposal - West Tier (“West Tier”); (iii) Recycling Processing and Sales; (iv) WM Renewable Energy and (v) WM Healthcare Solutions. Our East and West Tiers along with certain ancillary services (“Other Ancillary”) that are not managed through our Tier segments, but that support our collection and disposal operations, form our “Collection and Disposal” businesses. We also provide additional services not managed through our five reportable segments, which are presented as Corporate and Other.</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Collection and Disposal</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Collection and Disposal businesses provide integrated environmental services, including collection, transfer, disposal and resource recovery services. We evaluate our Collection and Disposal businesses primarily through two geographic segments, East Tier and West Tier. Our East Tier primarily consists of geographic areas located in the Eastern U.S., the Great Lakes region and substantially all of Canada. Our West Tier primarily includes geographic areas located in the Western U.S., including the upper Midwest region, and British Columbia, Canada. Additionally, we provide Other Ancillary services that are not managed through the Tier segments but that support our collection and disposal operations. Other Ancillary includes specialized services performed for customers that have differentiated needs. These specialized services are targeted at large industrial customers managed through our Sustainability and Environmental Solutions (“SES”) business or geographically dispersed customers managed through our Strategic Business Solutions (“WMSBS”) business. Also included within Other Ancillary are the results of non-operating entities that provide financial assurance and self-insurance support for our business, net of intercompany activity.</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Collection and Disposal businesses’ operating revenues are primarily generated from fees charged for our collection, transfer, disposal and resource recovery services. Revenues from our collection operations are influenced by factors such as collection frequency, type of collection equipment furnished, type and volume or weight of the waste collected, distance to the disposal facility or recycling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considering our cost of loading, transporting and disposing of the solid waste at a disposal site.</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Included within our Collection and Disposal businesses are landfills having (i) 20 third-party power generating facilities converting our landfill gas to fuel electricity generators; (ii) 16 third-party renewable natural gas (“RNG”) facilities processing landfill gas to be sold to natural gas suppliers and (iii) six third-party projects delivering our landfill gas by pipeline to industrial customers as a direct substitute for fossil fuels in industrial processes. In return for providing our landfill gas, we receive royalties from each facility, including the benefit of a 15% royalty from our WM Renewable Energy segment based on net operating revenue generated through the sale of RNG, renewable identification numbers (“RINs”), electricity and capacity, Renewable Energy Credits (“RECs”) and related environmental attributes from the 84 landfill beneficial use renewable energy projects owned by WM Renewable Energy on our active landfills, which is eliminated in consolidation.</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Recycling Processing and Sales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Recycling Processing and Sales segment includes the processing and sales of materials collected from residential, commercial and industrial customers. The materials are delivered to and processed at one of our many recycling facilities. Through our brokerage business, we also manage the marketing of recycling commodities that are processed in our facilities and by third parties by maintaining comprehensive service centers that continuously analyze market prices, logistics, market demands and product quality.</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Recycling Processing and Sales revenues generally consist of tipping fees and the sale of recycling commodities to and/or on behalf of third parties. Our Recycling Processing and Sales segment excludes the collection of recycled materials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from our residential, commercial, and industrial customers which is included within our Collection and Disposal businesses.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WM Renewable Energy</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WM Renewable Energy segment develops, operates and promotes projects for the beneficial use of landfill gas. Landfill gas is produced naturally as waste decomposes in a landfill. The methane component of the landfill gas is a readily available, renewable energy source that can be gathered and used beneficially as an alternative to fossil fuel. WM Renewable Energy converts landfill gas into several sources of renewable energy to be sold which include RNG, electricity and capacity, heat and/or steam. WM Renewable Energy also generates and sells (i) RINs under the Renewable Fuel Standard (“RFS”) program; (ii) other credits under a variety of state programs associated with the use of RNG in our compressed natural gas fleet and (iii) RECs associated with the production of electricity. The RINs, RECs, and other credits are sold to counterparties who are obligated under the regulatory programs and have a responsibility to procure RINs, RECs, and other credits proportionate to their fossil fuel production and imports. RINs and RECs prices generally fluctuate in response to regulations enacted by the Environmental Protection Agency (“EPA”) or other regulatory bodies, as well as changes in supply and demand.</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2024, we had 102 landfill gas beneficial use projects producing commercial quantities of methane gas at owned or operated landfills. For 65 of these projects, the processed gas is used to fuel electricity generators. The electricity is then sold to public utilities, municipal utilities or power cooperatives. For 23 of these projects, the gas is used at the landfill or delivered by pipeline to industrial customers as a direct substitute for fossil fuels in industrial processes. For 11 of these projects, the landfill gas is processed to pipeline quality RNG and then sold to natural gas suppliers. Additionally, three of these projects are on third-party landfills. The revenues from these facilities are primarily generated through the sale of RNG, RINs, electricity and capacity, heat and/or steam, RECs and related environmental attributes. WM Renewable Energy is charged a 15% royalty on net operating revenue from these facilities residing on our active and closed landfills from our Collection and Disposal and Corporate and Other businesses, which is eliminated in consolidation. Additionally, WM Renewable Energy operates and maintains seven third-party landfill beneficial gas use projects in return for service revenue. Our Collection and Disposal and Corporate and Other businesses benefit from these projects as well as 52 additional third-party landfill beneficial gas use projects in the form of royalties.</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WM Healthcare Solutions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WM Healthcare Solutions segment includes (i) Regulated Waste and Compliance Services (“RWCS”) which provide compliance programs and collection, processing, and disposal of regulated and specialized waste, including medical, pharmaceutical and hazardous waste and (ii) Secure Information Destruction (“SID”) services, which provide for the collection of personal and confidential information for secure destruction and recycling of sorted office paper. RWCS are provided to customers in the U.S., Canada, Ireland and the United Kingdom (“U.K.”). SID services are provided to customers in the U.S., Belgium, Canada, France, Germany, Ireland, Luxembourg, the Netherlands and the U.K.</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WM Healthcare Solutions customers are primarily in the following industries: enterprise healthcare (i.e., hospitals, health systems, and national and corporate healthcare), practices and care providers (i.e., physician offices, surgery centers, veterinary clinics, nursing and long-term care facilities, dental clinics, clinics and urgent care, dialysis centers, and home health organizations), and pharmacy labs and research centers. Our WM Healthcare Solutions businesses also provide services to airports and seaports, education institutions, funeral homes and crematories, government and military, banks and professional services, and other businesses. While the WM Healthcare Solutions businesses manage large volumes of waste and other materials, the average volume per customer site is relatively small.</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customers typically enter into a contract for the provision of services on a scheduled basis, including weekly, monthly or on an as-needed basis over the contract term. Under the contract terms, the WM Healthcare Solutions businesses receive fees based on a monthly, quarterly or annual rate and/or fees based on contractual rates depending upon measures including the volume, weight, and type of waste. Operating revenues are invoiced based on the terms of the underlying contract either on a regular basis, or as services are performed and are generally due within a short period of time after invoicing based upon normal terms and conditions for our business type and the geography of the services performed.</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our WM Healthcare Solutions businesses include a global fleet of approximately 6,100 routed trucks, tractors, collection vans and small duty vehicles. Our WM Healthcare Solutions segment operates out of approximately 361 leased and owned facilities worldwide with 69 autoclaves or other alternative medical waste treatment facilities, 18 medical waste incinerator facilities, 107 SID processing facilities and 167 transfer stations. Included within our WM Healthcare Solutions segment are 35 locations that are classified as held for sale as of December 31,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Times New Roman" w:cs="Times New Roman" w:eastAsia="Times New Roman" w:hAnsi="Times New Roman"/>
          <w:sz w:val="17"/>
          <w:szCs w:val="17"/>
          <w:color w:val="auto"/>
        </w:rPr>
        <w:t>We also provide additional services that are not managed through our operating segments, which are presented in this report as Corporate and Other. This includes the activities of our corporate office, including costs associated with our long-term incentive program, expanded service offerings and solutions (such as our investments in businesses and technologies that are designed to offer services and solutions ancillary or supplementary to our current operations) as well as our closed sites. Also included within our Corporate and Other businesses closed sites are (i) six third-party power generating facilities converting our landfill gas to fuel electricity generators; (ii) two third-party projects delivering our landfill gas by pipeline to industrial customers as a direct substitute for fossil fuels in industrial processes and (iii) two third-party RNG facilities processing landfill gas to be sold to natural gas suppliers in return for a royalty. Additionally, Corporate and Other benefits from a 15% royalty from our WM Renewable Energy segment based on net operating revenue generated through the sale of RNG, RINs, electricity and capacity, RECs and related environmental attributes from the 15 landfill beneficial use renewable energy projects owned by WM Renewable Energy on our closed sites, which is eliminated in consolidation.</w:t>
      </w:r>
    </w:p>
    <w:p>
      <w:pPr>
        <w:spacing w:after="0" w:line="18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Included in the fees we charge for our services is our energy surcharge and other charges that are intended to pass through costs to customers.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providing medical waste services and expanding our renewable energy projects to meet the evolving needs of our diverse customer base. As North America’s leading provider of comprehensive environmental solutions, we are taking big, bold steps to catalyze positive change – change that will impact our Company as well as the communities we serve. Consistent with our Company’s long-standing commitment to sustainability and environmental stewardship, we have published our 2024 Sustainability Report, providing details on our sustainability-related performance and outlining progress towards our 2030 sustainability goals. The Sustainability Report conveys the strong linkage between the Company’s sustainability goals and our growth strategy, inclusive of the planned and ongoing expansion of the Company’s Recycling Processing and Sales and WM Renewable Energy segments. The information in this report can be found at sustainability.wm.com but it does not constitute a part of, and is not incorporated by reference into, this Annual Report on Form 10-K. For further discussion see Item 1. </w:t>
      </w:r>
      <w:r>
        <w:rPr>
          <w:rFonts w:ascii="Times New Roman" w:cs="Times New Roman" w:eastAsia="Times New Roman" w:hAnsi="Times New Roman"/>
          <w:sz w:val="18"/>
          <w:szCs w:val="18"/>
          <w:i w:val="1"/>
          <w:iCs w:val="1"/>
          <w:color w:val="auto"/>
        </w:rPr>
        <w:t>Business – Regulation – 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Developments and Focus Areas in Policy and Regulation</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inflation. Volume changes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can fluctuate significantly by line of business and volume changes in higher margin businesses can impact key financial metrics. We must dynamically manage our cost structure in response to volume changes and cost inflation.</w:t>
      </w:r>
    </w:p>
    <w:p>
      <w:pPr>
        <w:spacing w:after="0" w:line="16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automation and optimization investments to enhance our operational efficiency and change the way we interact with our customers. Advancements made through these initiatives are intended to seamlessly and digitally connect all enterprise functions required to service customers and provide the best experience. We have made significant progress in executing this technology enablement strategy to automate and optimize certain elements of our service delivery model. The key benefits are reduced labor dependency on certain high-turnover jobs, particularly in customer experience, recycling and residential collection, while further elevating our customer self-service through digitalization and implementation of technologies to enhance the safety, reliability and efficiency within our collection operations. Additionally, in 2022, we implemented a new general ledger accounting system, complementary finance enterprise resource planning system and a human capital management system, which will continue to drive operational and service excellence by empowering our people through a modern, simplified and connected employee experience.</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sometimes experience margin pressures and variability in earnings and margins from our commodity-driven businesses, specifically within our Recycling Processing and Sales and WM Renewable Energy segments. While recycling commodity prices have recovered in 2024 from the low levels experienced in 2023, commodity prices are still below levels seen at the beginning of 2022. The impacts of commodity price fluctuations are not currently material to our WM Renewable Energy segment; however, as we continue to make investments to grow that segment, we may experience more significant impacts from fluctuations in the prices of electricity, natural gas, RINs and RECs. We continue to take proactive steps to adjust our business models to protect against the down-side risk of changes in commodity prices.</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Variability in economic conditions, including inflation, interest rates, employment trends and supply chain reliability, can create risk and uncertainty in financial outlook. We take proactive steps to recover and mitigate inflationary cost pressures through our overall pricing efforts and by managing our costs through efficiency, labor productivity, and investments in technology to automate certain aspects of our business. We remain committed to putting our people first to ensure that they are well positioned to execute our daily operations diligently and safely. We remain focused on delivering outstanding customer service, managing our variable costs with changing volumes and investing in technology that will enhance our customers’ experience and provide operating efficiencies intended to reduce our cost to serve.</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Current Year Financial Results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During 2024, we continued to focus on our priorities to advance our strategy—enhancing employee engagement, reducing our cost to serve through the use of technology and automation, and investing in growth through acquisitions and our Recycling Processing and Sales and WM Renewable Energy segments. We invested approximately $8 billion, with $7.5 billion funded in cash and $0.5 billion as the assumption of debt, on acquisitions in 2024, including having completed our acquisition of Stericycle in early November. We remain diligent in offering competitive and differentiated services that meet the needs of our customers, and we are focused on driving operating efficiencies and reducing discretionary spend. We continue to invest in our people through paying a competitive market wage, investing in our digital platform and providing training for our team members. We also continue to make investments in automation and optimization to enhance our operational efficiency and improve labor productivity for all lines of business. This strategic focus, combined with strong operational execution, resulted in increased revenue, income from operations and income from operations margin in 2024 when compared to the prior year. During 2024, the Company allocated $3,231 million of available cash to capital expenditures. We also allocated $1,472 million of available cash to our shareholders during 2024 through dividends and common stock repurchases.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Key elements of our 2024 financial results include:</w:t>
      </w:r>
    </w:p>
    <w:p>
      <w:pPr>
        <w:spacing w:after="0" w:line="117" w:lineRule="exact"/>
        <w:rPr>
          <w:sz w:val="20"/>
          <w:szCs w:val="20"/>
          <w:color w:val="auto"/>
        </w:rPr>
      </w:pPr>
    </w:p>
    <w:p>
      <w:pPr>
        <w:jc w:val="both"/>
        <w:ind w:left="720" w:right="79" w:hanging="319"/>
        <w:spacing w:after="0" w:line="261"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$22,063 million for 2024 compared with $20,426 million in 2023, an increase of $1,637 million, or 8.0%. The increase is primarily attributable to (i) higher yield in our Collection and Disposal businesses;</w:t>
      </w:r>
    </w:p>
    <w:p>
      <w:pPr>
        <w:jc w:val="both"/>
        <w:ind w:left="720" w:right="79" w:firstLine="5"/>
        <w:spacing w:after="0" w:line="255" w:lineRule="auto"/>
        <w:tabs>
          <w:tab w:leader="none" w:pos="101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net of divestitures; (iii) increases in commodity prices in our Recycling and Sales and WM Renewable Energy segments and (iv) increased volumes. These increases were partially offset by a decrease in revenue from our energy surcharge program as a result of a decline in the price of fuel, particularly diesel;</w:t>
      </w:r>
    </w:p>
    <w:p>
      <w:pPr>
        <w:spacing w:after="0" w:line="77"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of $13,383 million in 2024, or 60.7% of revenues, compared with $12,606 million, or 61.7% of revenues, in 2023. As a percentage of revenue, operating expenses improved significantly compared to the prior year as revenue growth from price, efficiency gains, improved employee retention and momentum in truck deliveries offset the impacts of inflationary increases in wages and other expenses. The increase in total operating expenses from prior year related primarily to (i) acquisitions; (ii) inflationary pressure on wages and expenses; (iii) higher recycling customer rebates resulting from an approximate 50% increase in single-stream recycling commodity prices; (iv) volume growth within our WMSBS business which relies more extensively on subcontracted hauling and services than our Collection and Disposal businesses; (v) increases in landfill operating costs, particularly for higher leachate costs due to wet weather and (vi) higher risk management spend, due in part, to increases in certain large loss claims reserves. These increases were partially offset by lower diesel fuel prices and an increase in gains on the sale of non-strategic assets in 2024 as compared with the prior year;</w:t>
      </w:r>
    </w:p>
    <w:p>
      <w:pPr>
        <w:spacing w:after="0" w:line="83"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of $2,264 million in 2024, or 10.3% of revenues, compared with $1,926 million, or 9.4% of revenues, in 2023. The $338 million increase was primarily due to (i) costs incurred in connection with the acquisition and integration of Stericycle of which a significant portion were transaction and integration costs that are not expected to recur; (ii) increased labor costs from higher annual and long-term incentive compensation costs and annual wage increases and (iii) increased professional fees to support strategic initiatives. Partially offsetting these increases was a decline in litigation costs;</w:t>
      </w:r>
    </w:p>
    <w:p>
      <w:pPr>
        <w:spacing w:after="0" w:line="79"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of $4,063 million, or 18.4% of revenues, in 2024 compared with $3,575 million, or 17.5% of revenues, in 2023. The increase in the current year earnings was primarily driven by (i) revenue growth and improved performance within our Collection and Disposal businesses; (ii) impairments incurred in 2023 and</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RIN quantities generated and sold at higher market values in the current year;</w:t>
      </w:r>
    </w:p>
    <w:p>
      <w:pPr>
        <w:spacing w:after="0" w:line="98"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Waste Management, Inc. was $2,746 million, or $6.81 per diluted share, compared with $2,304 million, or $5.66 per diluted share, in 2023. The $442 million increase is due to an increase in income from operations discussed above, as well as lower income tax expense driven by benefits generated from our low-income housing investments and federal tax credits realized from our RNG investments. These increases were partially offset by higher interest expense;</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$5,390 million in 2024, compared with $4,719 million in 2023. The $671 million increase in net cash provided by operating activities was primarily driven by (i) higher earnings in our Collection and Disposal businesses; (ii) favorable changes in working capital, net of effects of acquisitions and divestitures and (iii) lower annual incentive compensation payments. This increase was partially offset by higher cash interest payments and income tax payments; and</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was $2,317 million in 2024, compared with $1,902 million in 2023. The $415 million increase in free cash flow was primarily due to the increases in operating cash described above and increase in proceeds from the divestiture of non-strategic assets and businesses. These increases were partially offset by an increase in capital spending, which was driven by our planned and ongoing investments in our Recycling Processing and Sales and WM Renewable Energy segments and higher capital asset purchases in the current year to support our Collection and Disposal businesses. Free cash flow is a non-GAAP measure of liquidity. Refer to Free Cash Flow below for our definition of free cash flow, additional information about our use of this measure, and a reconciliation to net cash provided by operating activities, which is the most comparable GAAP measure.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mix of operating revenues for the years ended December 31 are as follows (in millions):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3"/>
                <w:szCs w:val="13"/>
                <w:color w:val="auto"/>
              </w:rPr>
            </w:pPr>
          </w:p>
        </w:tc>
        <w:tc>
          <w:tcPr>
            <w:tcW w:w="16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4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2"/>
                <w:szCs w:val="12"/>
                <w:color w:val="auto"/>
              </w:rPr>
            </w:pPr>
          </w:p>
        </w:tc>
        <w:tc>
          <w:tcPr>
            <w:tcW w:w="16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4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15"/>
                <w:szCs w:val="15"/>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5"/>
                <w:szCs w:val="15"/>
                <w:color w:val="auto"/>
              </w:rPr>
            </w:pPr>
          </w:p>
        </w:tc>
        <w:tc>
          <w:tcPr>
            <w:tcW w:w="16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Revenues(a)(b)</w:t>
            </w:r>
          </w:p>
        </w:tc>
        <w:tc>
          <w:tcPr>
            <w:tcW w:w="14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Revenues(b)</w:t>
            </w:r>
          </w:p>
        </w:tc>
        <w:tc>
          <w:tcPr>
            <w:tcW w:w="0" w:type="dxa"/>
            <w:vAlign w:val="bottom"/>
          </w:tcPr>
          <w:p>
            <w:pPr>
              <w:spacing w:after="0"/>
              <w:rPr>
                <w:sz w:val="1"/>
                <w:szCs w:val="1"/>
                <w:color w:val="auto"/>
              </w:rPr>
            </w:pPr>
          </w:p>
        </w:tc>
      </w:tr>
      <w:tr>
        <w:trPr>
          <w:trHeight w:val="156"/>
        </w:trPr>
        <w:tc>
          <w:tcPr>
            <w:tcW w:w="4080" w:type="dxa"/>
            <w:vAlign w:val="bottom"/>
            <w:gridSpan w:val="4"/>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WM Healthcare Solutions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406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3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3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406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3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3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19,698</w:t>
            </w:r>
          </w:p>
        </w:tc>
        <w:tc>
          <w:tcPr>
            <w:tcW w:w="3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vMerge w:val="restart"/>
          </w:tcPr>
          <w:p>
            <w:pPr>
              <w:jc w:val="right"/>
              <w:ind w:right="931"/>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380" w:right="79" w:hanging="330"/>
        <w:spacing w:after="0" w:line="266"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2024, the Company adjusted gross and intercompany operating revenues to reflect the 15% royalty paid by WM Renewable Energy to Collection and Disposal and Corporate and Other businesses for the purchase of landfill gas. There was no change to net operating revenues. Prior periods were recast to conform to current year presentation.</w:t>
      </w:r>
    </w:p>
    <w:p>
      <w:pPr>
        <w:spacing w:after="0" w:line="72"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associated with the period-to-period change in revenues and average yield for the year ended December 31 (dollars in millions):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8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13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15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7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7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300" w:type="dxa"/>
            <w:vAlign w:val="bottom"/>
          </w:tcPr>
          <w:p>
            <w:pPr>
              <w:spacing w:after="0"/>
              <w:rPr>
                <w:sz w:val="12"/>
                <w:szCs w:val="12"/>
                <w:color w:val="auto"/>
              </w:rPr>
            </w:pPr>
          </w:p>
        </w:tc>
        <w:tc>
          <w:tcPr>
            <w:tcW w:w="7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7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80" w:type="dxa"/>
            <w:vAlign w:val="bottom"/>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94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Business(a)</w:t>
            </w:r>
          </w:p>
        </w:tc>
        <w:tc>
          <w:tcPr>
            <w:tcW w:w="760" w:type="dxa"/>
            <w:vAlign w:val="bottom"/>
            <w:gridSpan w:val="3"/>
            <w:vMerge w:val="continue"/>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Company(b)</w:t>
            </w:r>
          </w:p>
        </w:tc>
        <w:tc>
          <w:tcPr>
            <w:tcW w:w="300" w:type="dxa"/>
            <w:vAlign w:val="bottom"/>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96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Business(a)</w:t>
            </w:r>
          </w:p>
        </w:tc>
        <w:tc>
          <w:tcPr>
            <w:tcW w:w="740" w:type="dxa"/>
            <w:vAlign w:val="bottom"/>
            <w:gridSpan w:val="3"/>
            <w:vMerge w:val="continue"/>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Company(b)</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Recycling Processing</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Sales and WM</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Renewable Energy (c)</w:t>
            </w:r>
          </w:p>
        </w:tc>
        <w:tc>
          <w:tcPr>
            <w:tcW w:w="16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(381)</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Energy surcharge and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mandated fees</w:t>
            </w:r>
          </w:p>
        </w:tc>
        <w:tc>
          <w:tcPr>
            <w:tcW w:w="16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average yield (d)</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Volume (e)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98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Internal revenue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growth</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Divestitures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translation</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9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9"/>
        </w:trPr>
        <w:tc>
          <w:tcPr>
            <w:tcW w:w="1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9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79" w:hanging="330"/>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by the prior year’s related business revenue adjusted to exclude the impacts of divestitures for the current year.</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by the prior year’s total Company revenue adjusted to exclude the impacts of divestitures for the current year.</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in both our Recycling Processing and Sales and WM Renewable Energy segments, as well as changes in certain recycling fees charged by our collection and disposal operations.</w:t>
      </w:r>
    </w:p>
    <w:p>
      <w:pPr>
        <w:spacing w:after="0" w:line="6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changes in our revenue attributable to average yield for the total Company.</w:t>
      </w:r>
    </w:p>
    <w:p>
      <w:pPr>
        <w:spacing w:after="0" w:line="11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activities from our Corporate and Other businesses.</w:t>
      </w:r>
    </w:p>
    <w:p>
      <w:pPr>
        <w:spacing w:after="0" w:line="117" w:lineRule="exact"/>
        <w:rPr>
          <w:rFonts w:ascii="Times New Roman" w:cs="Times New Roman" w:eastAsia="Times New Roman" w:hAnsi="Times New Roman"/>
          <w:sz w:val="18"/>
          <w:szCs w:val="18"/>
          <w:color w:val="auto"/>
        </w:rPr>
      </w:pPr>
    </w:p>
    <w:p>
      <w:pPr>
        <w:ind w:left="380" w:right="2479"/>
        <w:spacing w:after="0" w:line="49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provides further details about our period-to-period change in revenues: </w:t>
      </w:r>
      <w:r>
        <w:rPr>
          <w:rFonts w:ascii="Times New Roman" w:cs="Times New Roman" w:eastAsia="Times New Roman" w:hAnsi="Times New Roman"/>
          <w:sz w:val="18"/>
          <w:szCs w:val="18"/>
          <w:i w:val="1"/>
          <w:iCs w:val="1"/>
          <w:color w:val="auto"/>
        </w:rPr>
        <w:t>Average Yield</w:t>
      </w:r>
    </w:p>
    <w:p>
      <w:pPr>
        <w:spacing w:after="0" w:line="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Collection and Disposal Average Yield </w:t>
      </w:r>
      <w:r>
        <w:rPr>
          <w:rFonts w:ascii="Times New Roman" w:cs="Times New Roman" w:eastAsia="Times New Roman" w:hAnsi="Times New Roman"/>
          <w:sz w:val="18"/>
          <w:szCs w:val="18"/>
          <w:color w:val="auto"/>
        </w:rPr>
        <w:t>— This measure reflects the effect on our revenue from the pricing activities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collection, transfer and landfill operations, exclusive of volume changes. Revenue growth from Collection and Disposal average yield includes not only base rate changes and environmental and service fee fluctuations, but also</w:t>
      </w:r>
    </w:p>
    <w:p>
      <w:pPr>
        <w:spacing w:after="0" w:line="1" w:lineRule="exact"/>
        <w:rPr>
          <w:sz w:val="20"/>
          <w:szCs w:val="20"/>
          <w:color w:val="auto"/>
        </w:rPr>
      </w:pPr>
    </w:p>
    <w:p>
      <w:pPr>
        <w:ind w:left="280" w:hanging="230"/>
        <w:spacing w:after="0"/>
        <w:tabs>
          <w:tab w:leader="none" w:pos="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average price changes related to the overall mix of services, which are due to the types of services provided;</w:t>
      </w:r>
    </w:p>
    <w:p>
      <w:pPr>
        <w:spacing w:after="0" w:line="9"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average price from new and lost business and (iii) price decreases to retain customers.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details of our revenue growth from Collection and Disposal average yield for the year ended December 31 are as follows (dollars in millions):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17"/>
        </w:trPr>
        <w:tc>
          <w:tcPr>
            <w:tcW w:w="38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76"/>
        </w:trPr>
        <w:tc>
          <w:tcPr>
            <w:tcW w:w="3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3"/>
        </w:trPr>
        <w:tc>
          <w:tcPr>
            <w:tcW w:w="384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r>
      <w:tr>
        <w:trPr>
          <w:trHeight w:val="20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9"/>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Transfer</w:t>
            </w:r>
          </w:p>
        </w:tc>
        <w:tc>
          <w:tcPr>
            <w:tcW w:w="1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r>
      <w:tr>
        <w:trPr>
          <w:trHeight w:val="210"/>
        </w:trPr>
        <w:tc>
          <w:tcPr>
            <w:tcW w:w="3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overall pricing efforts are focused on keeping pace with the increasing costs and capital intensity of our business. We are continuing to see growth in our landfill business with our municipal solid waste experiencing average yield of 3.1% in 2024.</w:t>
      </w:r>
    </w:p>
    <w:p>
      <w:pPr>
        <w:spacing w:after="0" w:line="17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Recycling Processing and Sales and WM Renewable Energy — </w:t>
      </w:r>
      <w:r>
        <w:rPr>
          <w:rFonts w:ascii="Times New Roman" w:cs="Times New Roman" w:eastAsia="Times New Roman" w:hAnsi="Times New Roman"/>
          <w:sz w:val="18"/>
          <w:szCs w:val="18"/>
          <w:color w:val="auto"/>
        </w:rPr>
        <w:t>Recycling Processing and Sales revenues attributable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yield increased $245 million in 2024 and decreased $308 million in 2023, respectively, as compared with the prior year periods. Average market prices for single-stream recycled commodities increased approximately 50% in 2024 and decreased 40% in 2023 as compared with the prior year period. During 2023, the revenue decline from lower commodity pricing that started in 2022 was partially offset by higher pricing in our recycling brokerage business as well as our continued focus on a fee-based pricing model. Additionally, revenue in our WM Renewable Energy segment increased $26 million in 2024 and decreased $73 million in 2023 as compared with the prior year periods, primarily driven by fluctuations in energy prices and the value and quantity of RINs. While there may be short-term fluctuations in our commodity-driven businesses as prices change, we believe that our business models and processes appropriately mitigate the downside risk of changes in commodity prices.</w:t>
      </w:r>
    </w:p>
    <w:p>
      <w:pPr>
        <w:spacing w:after="0" w:line="18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Energy Surcharge and Mandated Fees — </w:t>
      </w:r>
      <w:r>
        <w:rPr>
          <w:rFonts w:ascii="Times New Roman" w:cs="Times New Roman" w:eastAsia="Times New Roman" w:hAnsi="Times New Roman"/>
          <w:sz w:val="18"/>
          <w:szCs w:val="18"/>
          <w:color w:val="auto"/>
        </w:rPr>
        <w:t>These fees decreased $97 million and $104 million in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as compared to the prior year periods. Beginning in the second quarter of 2023, our energy surcharge was revised to incorporate market prices for both diesel and CNG. The decrease in energy surcharge revenues is primarily due to a decline in market prices for diesel fuel of approximately 10% in 2024 and 15% in 2023 as compared to the prior year periods. The mandated fees are primarily related to fees and taxes assessed by various state, county and municipal government agencies at our landfills and transfer stations. These amounts have not significantly impacted the change in revenue for the periods presented.</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Volume</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revenues from volume (excluding volumes from acquisitions and divestitures) increased $88 million, or 0.4%, and $150 million, or 0.8%, in 2024 and 2023, respectively, as compared with the prior year periods. Although our 2024 volume growth has moderated when compared to 2023, special waste and municipal solid waste tons at our landfills continue to be a significant driver of our growth. Additionally, in 2024 we saw an increase in volumes in our WMSBS business due to our continued focus on a differentiated service model for national accounts customers and our recycling activity, renewable energy projects and commercial collection business contributed to our overall volume growth. These increases were partially offset by a decrease in industrial collection volumes and the intentional shedding of low-margin residential collection business. Furthermore, our construction and demolition landfill volumes for the year ended December 31, 2024, declined as compared to prior year due to clean-up efforts in our East Tier from Hurricane Ian in 2023.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Acquisitions and Divestitures</w:t>
      </w:r>
    </w:p>
    <w:p>
      <w:pPr>
        <w:spacing w:after="0" w:line="227" w:lineRule="exact"/>
        <w:rPr>
          <w:sz w:val="20"/>
          <w:szCs w:val="20"/>
          <w:color w:val="auto"/>
        </w:rPr>
      </w:pPr>
    </w:p>
    <w:p>
      <w:pPr>
        <w:jc w:val="both"/>
        <w:ind w:left="60" w:right="59" w:firstLine="259"/>
        <w:spacing w:after="0" w:line="261" w:lineRule="auto"/>
        <w:rPr>
          <w:sz w:val="20"/>
          <w:szCs w:val="20"/>
          <w:color w:val="auto"/>
        </w:rPr>
      </w:pPr>
      <w:r>
        <w:rPr>
          <w:rFonts w:ascii="Times New Roman" w:cs="Times New Roman" w:eastAsia="Times New Roman" w:hAnsi="Times New Roman"/>
          <w:sz w:val="18"/>
          <w:szCs w:val="18"/>
          <w:color w:val="auto"/>
        </w:rPr>
        <w:t>Acquisitions and divestitures resulted in a net increase in revenues of $576 million, or 2.9%, and $181 million, or 0.9%, in 2024 and 2023, respectively, as compared to the prior year periods. The 2024 increase was primarily due to our acquisition of Stericycle in November 2024. The remaining increases were related to our ongoing investment in tuck-in acquisitions of solid waste businesses.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operating expenses are comprised of (i) labor and related benefits costs (excluding labor costs associated with maintenance and repairs discussed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costs relating to equipment, vehicles and facilities and related labor costs; (iv) subcontractor costs, which include the costs of independent haulers who transport waste collected by us to disposal facilities and are affected by variables such as volumes, distance and fuel prices; (v) costs of goods sold, which includes the cost to purchase recycling materials for our Recycling Processing and Sales segment, including certain rebates paid to suppliers; (vi) fuel costs, net of tax credits for alternative fuel, which represent the costs of fuel to operate our truck fleet and landfill operating equipment; (vii) disposal and franchise fees and taxes, which include landfill taxes, municipal franchise fees, host community fees, contingent landfill lease payments and royalties;</w:t>
      </w:r>
    </w:p>
    <w:p>
      <w:pPr>
        <w:spacing w:after="0" w:line="5" w:lineRule="exact"/>
        <w:rPr>
          <w:sz w:val="20"/>
          <w:szCs w:val="20"/>
          <w:color w:val="auto"/>
        </w:rPr>
      </w:pPr>
    </w:p>
    <w:p>
      <w:pPr>
        <w:jc w:val="both"/>
        <w:ind w:left="60" w:right="59" w:hanging="10"/>
        <w:spacing w:after="0" w:line="252" w:lineRule="auto"/>
        <w:tabs>
          <w:tab w:leader="none" w:pos="47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landfill operating costs, which include interest accretion on landfill liabilities, interest accretion on and discount rate adjustments to environmental remediation liabilities, leachate and methane collection and treatment, landfill remediation costs and other landfill site costs; (ix) risk management costs, which include general liability, automobile liability and workers’ compensation claims programs costs and (x) other operating costs, which include gains and losses on sale of assets, telecommunications, equipment and facility lease expenses, property taxes, utilities and supplies. Variations in volumes year-over-year, as discussed above in </w:t>
      </w:r>
      <w:r>
        <w:rPr>
          <w:rFonts w:ascii="Times New Roman" w:cs="Times New Roman" w:eastAsia="Times New Roman" w:hAnsi="Times New Roman"/>
          <w:sz w:val="18"/>
          <w:szCs w:val="18"/>
          <w:i w:val="1"/>
          <w:iCs w:val="1"/>
          <w:color w:val="auto"/>
        </w:rPr>
        <w:t>Operating Revenues</w:t>
      </w:r>
      <w:r>
        <w:rPr>
          <w:rFonts w:ascii="Times New Roman" w:cs="Times New Roman" w:eastAsia="Times New Roman" w:hAnsi="Times New Roman"/>
          <w:sz w:val="18"/>
          <w:szCs w:val="18"/>
          <w:color w:val="auto"/>
        </w:rPr>
        <w:t>, in addition to cost inflation, affect the comparability of the components of our operating expenses.</w:t>
      </w:r>
    </w:p>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620" w:type="dxa"/>
            <w:vAlign w:val="bottom"/>
            <w:gridSpan w:val="16"/>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major  components  of  our  operating  expenses  for</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the  year</w:t>
            </w: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ended</w:t>
            </w:r>
          </w:p>
        </w:tc>
      </w:tr>
      <w:tr>
        <w:trPr>
          <w:trHeight w:val="234"/>
        </w:trPr>
        <w:tc>
          <w:tcPr>
            <w:tcW w:w="5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(dollars in millions and as a percentage of revenues):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78"/>
        </w:trPr>
        <w:tc>
          <w:tcPr>
            <w:tcW w:w="35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Transfer and disposal costs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and repairs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Subcontractor costs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10.2</w:t>
            </w:r>
          </w:p>
        </w:tc>
        <w:tc>
          <w:tcPr>
            <w:tcW w:w="1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Fuel</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and franchise fees and taxes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Landfill operating costs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management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r>
      <w:tr>
        <w:trPr>
          <w:trHeight w:val="216"/>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CCEEFF"/>
            </w:tcBorders>
          </w:tcPr>
          <w:p>
            <w:pPr>
              <w:spacing w:after="0"/>
              <w:rPr>
                <w:sz w:val="18"/>
                <w:szCs w:val="18"/>
                <w:color w:val="auto"/>
              </w:rPr>
            </w:pPr>
          </w:p>
        </w:tc>
      </w:tr>
      <w:tr>
        <w:trPr>
          <w:trHeight w:val="426"/>
        </w:trPr>
        <w:tc>
          <w:tcPr>
            <w:tcW w:w="35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10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120" w:type="dxa"/>
            <w:vAlign w:val="bottom"/>
            <w:shd w:val="clear" w:color="auto" w:fill="CCEEFF"/>
          </w:tcPr>
          <w:p>
            <w:pPr>
              <w:spacing w:after="0"/>
              <w:rPr>
                <w:sz w:val="24"/>
                <w:szCs w:val="24"/>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62.4 %</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a percentage of revenue, operating expenses improved significantly compared to the prior year as revenue growth from price, efficiency gains, improved employee retention and momentum in truck deliveries offset the impacts of inflationary increases in wages and other expenses. The increase in total operating expenses from prior year related primarily to (i) acquisitions; (ii) inflationary pressure on wages and expenses; (iii) higher recycling customer rebates resulting from an approximate 50% increase in single-stream recycling commodity prices; (iv) volume growth within our WMSBS business which relies more extensively on subcontracted hauling and services than our Collection and Disposal businesses; (v) increases in landfill operating costs due to wet weather and (vi) higher risk management spend, due in part, to increases in certain large loss claims reserves. These increases were partially offset by lower diesel fuel prices and an increase in gains on the sale of non-strategic assets in 2024 as compared with the prior year.</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operating expenses increased in 2023, as compared with 2022, primarily due to (i) inflationary cost pressures,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particularly for maintenance and repairs and subcontractor costs and (ii) labor cost pressure from frontline employee market wage adjustments. These increases were offset, in part, by commodity-driven business impacts, particularly from lower recycling rebates reflected in costs of goods sold and lower fuel prices. Our focus on operating efficiency and efforts to control our costs, along with revenue growth, enabled us to improve operating costs as a percent of revenues in 2023 as compared with 2022.</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items affecting the comparison of operating expenses between reported periods include:</w:t>
      </w:r>
    </w:p>
    <w:p>
      <w:pPr>
        <w:spacing w:after="0" w:line="22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Times New Roman" w:cs="Times New Roman" w:eastAsia="Times New Roman" w:hAnsi="Times New Roman"/>
          <w:sz w:val="18"/>
          <w:szCs w:val="18"/>
          <w:color w:val="auto"/>
        </w:rPr>
        <w:t>— Our investments in technology that focus on driving route optimization, improving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driver retention, and creating efficiencies have positively impacted our labor and related benefits costs. The increase in costs in 2024, as compared with 2023, was primarily driven by (i) increased headcount from our recent acquisitions and (ii) annual employee wage increases and higher annual incentive compensation. These increases were offset, in part, by the benefit of productivity and operational efficiency gains. The increase in labor and related benefits costs in 2023, as compared with 2022, was primarily driven by (i) employee market wage adjustments; (ii) increased headcount primarily from acquisitions and (iii) increases in health and welfare costs and in medical care activity. These increases were offset, in part, by lower annual incentive compensation.</w:t>
      </w:r>
    </w:p>
    <w:p>
      <w:pPr>
        <w:spacing w:after="0" w:line="18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Transfer and Disposal Costs </w:t>
      </w:r>
      <w:r>
        <w:rPr>
          <w:rFonts w:ascii="Times New Roman" w:cs="Times New Roman" w:eastAsia="Times New Roman" w:hAnsi="Times New Roman"/>
          <w:sz w:val="18"/>
          <w:szCs w:val="18"/>
          <w:color w:val="auto"/>
        </w:rPr>
        <w:t>— The increase in transfer and disposal costs in 2024, as compared with 2023,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 inflationary cost increases, which includes increased disposal fees at third-party sites and higher rates from our third-party haulers and (ii) incremental third-party transfer and disposal costs as a result of our recent acquisitions. These cost increases were offset, in part, by decreases in industrial and residential collection volumes. The increase in transfer and disposal costs in 2023, as compared with 2022, was primarily due to inflationary cost increases, which includes increased disposal fees at third-party sites and higher rates from our third-party haulers, offset, in part, by a decrease in collection volumes.</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Maintenance and Repairs </w:t>
      </w:r>
      <w:r>
        <w:rPr>
          <w:rFonts w:ascii="Times New Roman" w:cs="Times New Roman" w:eastAsia="Times New Roman" w:hAnsi="Times New Roman"/>
          <w:sz w:val="18"/>
          <w:szCs w:val="18"/>
          <w:color w:val="auto"/>
        </w:rPr>
        <w:t>— The increase in maintenance and repairs costs in 2024, as compared with 2023,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(i) inflationary and acquisition related cost increases for parts, supplies and third-party services, and (ii) annual wage increases and higher technician headcount. These cost increases were offset, in part, by an improvement in new truck deliveries, which require less maintenance than older trucks, (ii) fleet rationalization efforts that removed older trucks and reduced our fleet count and (iii) improvements in operational efficiencies. The increase in maintenance and repairs costs in 2023, as compared with 2022, was primarily driven by (i) continued inflationary cost increases for parts, supplies and third-party services, although the impact of such inflationary cost increases moderated throughout the year and (ii) labor cost increases for our technicians, including additional headcount.</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Subcontractor Costs </w:t>
      </w:r>
      <w:r>
        <w:rPr>
          <w:rFonts w:ascii="Times New Roman" w:cs="Times New Roman" w:eastAsia="Times New Roman" w:hAnsi="Times New Roman"/>
          <w:sz w:val="18"/>
          <w:szCs w:val="18"/>
          <w:color w:val="auto"/>
        </w:rPr>
        <w:t>— The increase in subcontractor costs in 2024, as compared with 2023, was primarily due to</w:t>
      </w:r>
    </w:p>
    <w:p>
      <w:pPr>
        <w:spacing w:after="0" w:line="29" w:lineRule="exact"/>
        <w:rPr>
          <w:sz w:val="20"/>
          <w:szCs w:val="20"/>
          <w:color w:val="auto"/>
        </w:rPr>
      </w:pPr>
    </w:p>
    <w:p>
      <w:pPr>
        <w:jc w:val="both"/>
        <w:ind w:left="60" w:right="59" w:hanging="10"/>
        <w:spacing w:after="0" w:line="252" w:lineRule="auto"/>
        <w:tabs>
          <w:tab w:leader="none" w:pos="28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volumes in our WMSBS business, which relies more extensively on subcontracted hauling and services than our Collection and Disposal businesses (ii) continued inflationary cost increases related to labor costs from third-party haulers and (iii) our recent acquisitions. These increases were offset, in part, by the impact of lower fuel prices on third-party subcontracted hauling and services. The increase in subcontractor costs in 2023, as compared with 2022, was primarily due to (i) an increase in volumes in our WMSBS and SES businesses, which rely more extensively on subcontracted hauling and services than other parts of our Collection and Disposal businesses and (ii) continued inflationary cost increases, particularly labor and other costs from third-party haulers.</w:t>
      </w:r>
    </w:p>
    <w:p>
      <w:pPr>
        <w:spacing w:after="0" w:line="186"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Goods Sold — </w:t>
      </w:r>
      <w:r>
        <w:rPr>
          <w:rFonts w:ascii="Times New Roman" w:cs="Times New Roman" w:eastAsia="Times New Roman" w:hAnsi="Times New Roman"/>
          <w:sz w:val="18"/>
          <w:szCs w:val="18"/>
          <w:color w:val="auto"/>
        </w:rPr>
        <w:t>The increase in cost of goods sold in 2024, as compared with 2023, was primarily driven by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 50% increase in single-stream recycling commodity prices. The decrease in cost of goods sold in 2023, as compared with 2022, was primarily driven by a 40% decrease in average single-stream recycling commodity prices.</w:t>
      </w:r>
    </w:p>
    <w:p>
      <w:pPr>
        <w:spacing w:after="0" w:line="17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Fuel — </w:t>
      </w:r>
      <w:r>
        <w:rPr>
          <w:rFonts w:ascii="Times New Roman" w:cs="Times New Roman" w:eastAsia="Times New Roman" w:hAnsi="Times New Roman"/>
          <w:sz w:val="18"/>
          <w:szCs w:val="18"/>
          <w:color w:val="auto"/>
        </w:rPr>
        <w:t>The decrease in fuel costs was primarily due to a decrease of approximately 10% in average market prices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diesel fuel in 2024 and 15% in 2023.</w:t>
      </w:r>
    </w:p>
    <w:p>
      <w:pPr>
        <w:spacing w:after="0" w:line="158"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Disposal and Franchise Fees and Taxes — </w:t>
      </w:r>
      <w:r>
        <w:rPr>
          <w:rFonts w:ascii="Times New Roman" w:cs="Times New Roman" w:eastAsia="Times New Roman" w:hAnsi="Times New Roman"/>
          <w:sz w:val="18"/>
          <w:szCs w:val="18"/>
          <w:color w:val="auto"/>
        </w:rPr>
        <w:t>The increase in disposal and franchise fees and taxes in 2024,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2023, was primarily driven by an increase in landfill volumes and an overall rate increase in fees and taxes paid to municipalities on our disposal volumes. The increase in disposal and franchise fees and taxes in 2023, as compared with 2022, was primarily driven by an overall rate increase in fees and taxes paid to municipalities on our disposal volumes.</w:t>
      </w:r>
    </w:p>
    <w:p>
      <w:pPr>
        <w:sectPr>
          <w:pgSz w:w="11900" w:h="16838" w:orient="portrait"/>
          <w:cols w:equalWidth="0" w:num="1">
            <w:col w:w="9019"/>
          </w:cols>
          <w:pgMar w:left="1440" w:top="60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Landfill Operating Costs — </w:t>
      </w:r>
      <w:r>
        <w:rPr>
          <w:rFonts w:ascii="Times New Roman" w:cs="Times New Roman" w:eastAsia="Times New Roman" w:hAnsi="Times New Roman"/>
          <w:sz w:val="18"/>
          <w:szCs w:val="18"/>
          <w:color w:val="auto"/>
        </w:rPr>
        <w:t>The increase in landfill operating costs in 2024, as compared with 2023,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(i) higher leachate collection and treatment and site maintenance costs which can largely be attributed to particularly wet weather in certain markets throughout 2024 and (ii) increased methane collection and treatment costs. Our landfill operating costs increased in 2023, as compared with 2022, primarily due to (i) higher expenses for interest accretion on landfill and environmental remediation liabilities and (ii) an increase in remediation expense due to changes in measurement of certain environmental remediation obligations.</w:t>
      </w:r>
    </w:p>
    <w:p>
      <w:pPr>
        <w:spacing w:after="0" w:line="18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Risk Management </w:t>
      </w:r>
      <w:r>
        <w:rPr>
          <w:rFonts w:ascii="Times New Roman" w:cs="Times New Roman" w:eastAsia="Times New Roman" w:hAnsi="Times New Roman"/>
          <w:sz w:val="18"/>
          <w:szCs w:val="18"/>
          <w:color w:val="auto"/>
        </w:rPr>
        <w:t>— The increase in risk management in 2024, as compared with 2023, was primarily due to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to our reserves for certain large loss claims; (ii) higher auto and workers compensation claims costs and (iii) increases in premiums for property coverage. These increases were offset, in part, by current year insurance recoveries for property claims associated with a fire and natural disasters. Risk management costs decreased in 2023, as compared with 2022, primarily due to lower levels of large loss claims.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 Other operating costs increased in 2024, as compared with 2023, primarily due to (i) our recent acquisitions</w:t>
      </w:r>
    </w:p>
    <w:p>
      <w:pPr>
        <w:spacing w:after="0" w:line="29" w:lineRule="exact"/>
        <w:rPr>
          <w:sz w:val="20"/>
          <w:szCs w:val="20"/>
          <w:color w:val="auto"/>
        </w:rPr>
      </w:pPr>
    </w:p>
    <w:p>
      <w:pPr>
        <w:jc w:val="both"/>
        <w:ind w:left="60" w:right="59" w:hanging="10"/>
        <w:spacing w:after="0" w:line="250"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supply chain rebates in 2023 and (iii) a prior year favorable litigation settlement, which reduced our expenses in that period. These increases were offset, in part, by gains on the sales of non-strategic assets in 2024. Other operating costs decreased in 2023, as compared with 2022, primarily due to (i) supply chain rebates in 2023 and (ii) a favorable litigation settlement, which were offset, in part, by (i) inflationary cost pressures, although the impact of such continued inflationary cost increases moderated throughout the year; (ii) higher utility costs at our facilities; (iii) an increase in business travel and</w:t>
      </w:r>
    </w:p>
    <w:p>
      <w:pPr>
        <w:spacing w:after="0" w:line="1" w:lineRule="exact"/>
        <w:rPr>
          <w:rFonts w:ascii="Times New Roman" w:cs="Times New Roman" w:eastAsia="Times New Roman" w:hAnsi="Times New Roman"/>
          <w:sz w:val="18"/>
          <w:szCs w:val="18"/>
          <w:color w:val="auto"/>
        </w:rPr>
      </w:pPr>
    </w:p>
    <w:p>
      <w:pPr>
        <w:ind w:left="360" w:hanging="310"/>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equipment rental costs.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selling, general and administrative expenses consist of (i) labor and related benefits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selling, general and administrative expenses, which include, among other costs, facility-related expenses, voice and data telecommunication, advertising, bank charges, computer costs, travel and entertainment, rentals, postage and printing. In addition, the financial impacts of litigation reserves generally are included in our “Other” selling, general and administrative expenses.</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selling, general and administrative expenses for the year ended December 31 (dollars in millions and as a percentage of revenues):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22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1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$ 1,400</w:t>
            </w: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$ 1,205</w:t>
            </w: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$ 1,195</w:t>
            </w: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r>
      <w:tr>
        <w:trPr>
          <w:trHeight w:val="216"/>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CEEFF"/>
            </w:tcBorders>
          </w:tcPr>
          <w:p>
            <w:pPr>
              <w:spacing w:after="0"/>
              <w:rPr>
                <w:sz w:val="18"/>
                <w:szCs w:val="18"/>
                <w:color w:val="auto"/>
              </w:rPr>
            </w:pPr>
          </w:p>
        </w:tc>
      </w:tr>
      <w:tr>
        <w:trPr>
          <w:trHeight w:val="425"/>
        </w:trPr>
        <w:tc>
          <w:tcPr>
            <w:tcW w:w="332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$ 2,264</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$ 1,926</w:t>
            </w:r>
          </w:p>
        </w:tc>
        <w:tc>
          <w:tcPr>
            <w:tcW w:w="160" w:type="dxa"/>
            <w:vAlign w:val="bottom"/>
            <w:shd w:val="clear" w:color="auto" w:fill="CCEEFF"/>
          </w:tcPr>
          <w:p>
            <w:pPr>
              <w:spacing w:after="0"/>
              <w:rPr>
                <w:sz w:val="24"/>
                <w:szCs w:val="24"/>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9.4 %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$ 1,938</w:t>
            </w:r>
          </w:p>
        </w:tc>
        <w:tc>
          <w:tcPr>
            <w:tcW w:w="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9.8 %</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 2024, as compared with 2023, have increased due to (i) severance and consulting costs incurred in connection with the acquisition and integration of Stericycle, of which a significant portion are transaction and integration costs that are not expected to recur; (ii) increased labor costs from higher annual and long-term incentive compensation and annual wage increases and (iii) increased professional fees to support strategic initiatives. Partially offsetting these increases was a decline in litigation costs.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 2023, as compared with 2022, decreased primarily due to (i) reduced professional fees in connection with investments in our digital platform, as certain digital projects have moved from higher cost development activities to implementation activities, and (ii) lower annual incentive compensation costs. These decreases were partially offset by annual wage increases and increased litigation costs.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Significant items affecting the comparison of our selling, general and administrative expenses between reported periods include:</w:t>
      </w:r>
    </w:p>
    <w:p>
      <w:pPr>
        <w:spacing w:after="0" w:line="16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Times New Roman" w:cs="Times New Roman" w:eastAsia="Times New Roman" w:hAnsi="Times New Roman"/>
          <w:sz w:val="18"/>
          <w:szCs w:val="18"/>
          <w:color w:val="auto"/>
        </w:rPr>
        <w:t>— The increase in labor and related benefits costs in 2024, as compared with 2023,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(i) costs incurred in connection with our acquisition of Stericycle, including severance costs and additional headcount; (ii) higher annual and long-term incentive compensation costs and (iii) annual employee wage increases. The increase in labor and related benefits costs in 2023, as compared with 2022, was primarily related to (i) annual wage increases for our employees; (ii) market adjustments for deferred compensation plans related to investment performance and (iii) higher long-term incentive compensation costs, partially offset by lower annual incentive compensation costs and lower contract labor expenses.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Professional Fees </w:t>
      </w:r>
      <w:r>
        <w:rPr>
          <w:rFonts w:ascii="Times New Roman" w:cs="Times New Roman" w:eastAsia="Times New Roman" w:hAnsi="Times New Roman"/>
          <w:sz w:val="18"/>
          <w:szCs w:val="18"/>
          <w:color w:val="auto"/>
        </w:rPr>
        <w:t>— The increase in professional fees in 2024, as compared with 2023, was primarily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consulting and accounting costs incurred to support strategic initiatives, including our acquisition of Stericycle. The decrease in professional fees in 2023, as compared with 2022, was primarily attributable to reduced expenses in connection with investments in our digital platform.</w:t>
      </w:r>
    </w:p>
    <w:p>
      <w:pPr>
        <w:spacing w:after="0" w:line="180"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 </w:t>
      </w:r>
      <w:r>
        <w:rPr>
          <w:rFonts w:ascii="Times New Roman" w:cs="Times New Roman" w:eastAsia="Times New Roman" w:hAnsi="Times New Roman"/>
          <w:sz w:val="18"/>
          <w:szCs w:val="18"/>
          <w:color w:val="auto"/>
        </w:rPr>
        <w:t>The increase in other expenses in 2024, as compared with 2023, was primarily related to (i) risk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incurred in connection with the acquisition and integration of Stericycle and (ii) increased spend across multiple cost categories including technology and travel. These cost increases were partially offset by a decline in litigation costs. The increase in other expenses in 2023, as compared with 2022, was primarily related to (i) increased litigation costs; (ii) increased bank charges and (iii) higher advertising spend, which were partially offset by lower travel expenses and lower telecommunication costs.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Depreciation, Depletion and Amortization Expenses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depreciation, depletion and amortization expenses for the year ended December 31 (dollars in millions and as a percentage of revenues):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r>
      <w:tr>
        <w:trPr>
          <w:trHeight w:val="21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tangible property and equipment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$ 1,292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$ 1,197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$ 1,155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Depletion of landfill airspace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8"/>
                <w:szCs w:val="18"/>
                <w:color w:val="auto"/>
              </w:rPr>
            </w:pPr>
          </w:p>
        </w:tc>
      </w:tr>
      <w:tr>
        <w:trPr>
          <w:trHeight w:val="210"/>
        </w:trPr>
        <w:tc>
          <w:tcPr>
            <w:tcW w:w="472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$ 2,267</w:t>
            </w:r>
          </w:p>
        </w:tc>
        <w:tc>
          <w:tcPr>
            <w:tcW w:w="16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w:t>
            </w:r>
            <w:r>
              <w:rPr>
                <w:rFonts w:ascii="Times New Roman" w:cs="Times New Roman" w:eastAsia="Times New Roman" w:hAnsi="Times New Roman"/>
                <w:sz w:val="18"/>
                <w:szCs w:val="18"/>
                <w:u w:val="single" w:color="auto"/>
                <w:color w:val="auto"/>
                <w:w w:val="95"/>
              </w:rPr>
              <w:t>3</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$ 2,071</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w:t>
            </w:r>
            <w:r>
              <w:rPr>
                <w:rFonts w:ascii="Times New Roman" w:cs="Times New Roman" w:eastAsia="Times New Roman" w:hAnsi="Times New Roman"/>
                <w:sz w:val="18"/>
                <w:szCs w:val="18"/>
                <w:u w:val="single" w:color="auto"/>
                <w:color w:val="auto"/>
                <w:w w:val="95"/>
              </w:rPr>
              <w:t>1</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$ 2,038</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w:t>
            </w:r>
            <w:r>
              <w:rPr>
                <w:rFonts w:ascii="Times New Roman" w:cs="Times New Roman" w:eastAsia="Times New Roman" w:hAnsi="Times New Roman"/>
                <w:sz w:val="18"/>
                <w:szCs w:val="18"/>
                <w:u w:val="single" w:color="auto"/>
                <w:color w:val="auto"/>
                <w:w w:val="95"/>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increase in depreciation of tangible property and equipment in 2024, as compared with 2023, was driven by (i) increased investments in capital assets such as trucks and containers and (ii) the acquisition of Stericycle. The increase in depletion of landfill airspace in 2024, as compared to with 2023, was driven by changes in amortization rates from revisions in landfill estimates and volume increases, partially offset by the closure of a landfill in our East Tier. The increase in amortization of intangibles was driven by the amortization of acquired intangible assets.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increase in depreciation of tangible property and equipment in 2023, as compared with 2022, was mainly influenced by strategic investments in our digital platform and investments in capital assets to service our customers, such as machinery and containers. The decrease in depletion of landfill airspace in 2023, as compared with 2022, was primarily driven by reductions in volume partially offset by the reopening of a previously closed site in our East Tier.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Divestitures, Asset Impairments and Unusual Items, Net</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(gain) loss from divestitures, asset impairments and unusual items, net for the year ended December 31 (in millions):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divestitures,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9"/>
        </w:trPr>
        <w:tc>
          <w:tcPr>
            <w:tcW w:w="60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we recognized $82 million of net charges primarily consisting of (i) a $54 million charge required to increase the estimated fair value of a liability associated with the expected disposition of an investment the Company holds in a waste diversion technology business; (ii) a $14 million loss associated with the divestiture of a minority investment in a medical waste company within Corporate and Other, in connection with our acquisition of Stericycle and (iii) a $13 million charge pertaining to reserves for loss contingencies in our Corporate and Other segment to adjust an indirect wholly-owned subsidiary’s estimated potential share of the liability for a proposed environmental remediation plan at a closed site, as discussed in Note 10 to the Consolidated Financial Statements for further information.</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we recognized $243 million of net charges primarily consisting of (i) a $168 million goodwill impairment charge within our Recycling Processing and Sales segment related to a business engaged in accelerating film and plastic wrap recycling capabilities, with $22 million attributable to noncontrolling interests. This charge was partially offset by the recognition of $46 million of income related to the reversal of a liability for contingent consideration associated with our investment in such business; (ii) $107 million of impairment charges within Corporate and Other for certain investments in waste diversion technology businesses and (iii) a $17 million charge within Corporate and Other to adjust an indirect wholly owned subsidiary’s estimated potential share of the liability for a proposed environmental remediation plan at a closed site. Refer to Notes 5 and 10 to the Consolidated Financial Statements for further information.</w:t>
      </w:r>
    </w:p>
    <w:p>
      <w:pPr>
        <w:spacing w:after="0" w:line="18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we recognized $62 million of net charges consisting of (i) $50 million of asset impairment charges primarily related to management’s decision to close two landfills within our East Tier and (ii) a $17 million charge pertaining to reserves for loss contingencies within Corporate and Other to adjust an indirect wholly owned subsidiary’s estimated potential share of the liability for a proposed environmental remediation plan at a closed site, as discussed in Note 10 to the Consolidated Financial Statements. These losses were partially offset by a $5 million gain from the divestiture of a collection and disposal operation in our West Tier.</w:t>
      </w:r>
    </w:p>
    <w:p>
      <w:pPr>
        <w:spacing w:after="0" w:line="18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See Note 2 to the Consolidated Financial Statements for additional information related to the accounting policy and analysis involved in identifying and calculating impairments. See Note 19 to the Consolidated Financial Statements for additional information related to the impact of impairments on the results of operations of our reportable segments.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income from operations for the year ended December 31 (dollars in millions):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Period-to-</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5"/>
          </w:tcPr>
          <w:p>
            <w:pPr>
              <w:jc w:val="center"/>
              <w:ind w:right="430"/>
              <w:spacing w:after="0"/>
              <w:rPr>
                <w:sz w:val="20"/>
                <w:szCs w:val="20"/>
                <w:color w:val="auto"/>
              </w:rPr>
            </w:pPr>
            <w:r>
              <w:rPr>
                <w:rFonts w:ascii="Times New Roman" w:cs="Times New Roman" w:eastAsia="Times New Roman" w:hAnsi="Times New Roman"/>
                <w:sz w:val="14"/>
                <w:szCs w:val="14"/>
                <w:b w:val="1"/>
                <w:bCs w:val="1"/>
                <w:color w:val="auto"/>
              </w:rPr>
              <w:t>Period-to-</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left="115"/>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left="195"/>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218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left="19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East Tier</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40" w:type="dxa"/>
            <w:vAlign w:val="bottom"/>
          </w:tcPr>
          <w:p>
            <w:pPr>
              <w:spacing w:after="0"/>
              <w:rPr>
                <w:sz w:val="18"/>
                <w:szCs w:val="18"/>
                <w:color w:val="auto"/>
              </w:rPr>
            </w:pP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12.8 %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West Tier</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Ancillary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(172)</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(216)</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25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38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13.7 %</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258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Percentage of revenues</w:t>
            </w:r>
          </w:p>
        </w:tc>
        <w:tc>
          <w:tcPr>
            <w:tcW w:w="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Percentage change does not provide a meaningful comparison.</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Collection and Disposal — </w:t>
      </w:r>
      <w:r>
        <w:rPr>
          <w:rFonts w:ascii="Times New Roman" w:cs="Times New Roman" w:eastAsia="Times New Roman" w:hAnsi="Times New Roman"/>
          <w:sz w:val="18"/>
          <w:szCs w:val="18"/>
          <w:color w:val="auto"/>
        </w:rPr>
        <w:t>The most significant items affecting the results of operations of our Collection and</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Disposal businesses during the three years ended December 31, 2024 are summarized below:</w:t>
      </w:r>
    </w:p>
    <w:p>
      <w:pPr>
        <w:spacing w:after="0" w:line="99" w:lineRule="exact"/>
        <w:rPr>
          <w:sz w:val="20"/>
          <w:szCs w:val="20"/>
          <w:color w:val="auto"/>
        </w:rPr>
      </w:pPr>
    </w:p>
    <w:p>
      <w:pPr>
        <w:jc w:val="both"/>
        <w:ind w:left="720" w:right="79" w:hanging="319"/>
        <w:spacing w:after="0" w:line="255"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in our Collection and Disposal businesses increased in 2024, as compared with 2023, primarily due to (i) our focus on pricing our services to keep pace with inflationary cost pressures, alongside intentional efforts to improve efficiency and operating costs incurred to serve our customers; (ii) contributions from higher landfill volumes generated from special waste and municipal solid waste and (iii) gains on the sales of non-strategic assets. These increases were partially offset by (i) a decline in contributions from lower industrial volumes; (ii) an increase in landfill operating costs and (iii) increased depreciation expenses with relation to our fleet, machinery and equipment as well as higher depletion costs at our landfills.</w:t>
      </w:r>
    </w:p>
    <w:p>
      <w:pPr>
        <w:spacing w:after="0" w:line="80"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in our Collection and Disposal businesses increased in 2023, as compared with 2022, primarily due to revenue growth in our collection and disposal operations driven by both yield and volume. This increase was partially offset by (i) inflationary cost pressures, particularly for maintenance and repairs and subcontractor costs and (ii) labor cost pressure from frontline employee market wage adjustments.</w:t>
      </w:r>
    </w:p>
    <w:p>
      <w:pPr>
        <w:spacing w:after="0" w:line="7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Recycling Processing and Sales </w:t>
      </w:r>
      <w:r>
        <w:rPr>
          <w:rFonts w:ascii="Times New Roman" w:cs="Times New Roman" w:eastAsia="Times New Roman" w:hAnsi="Times New Roman"/>
          <w:sz w:val="18"/>
          <w:szCs w:val="18"/>
          <w:color w:val="auto"/>
        </w:rPr>
        <w:t>— Income from operations in our Recycling Processing and Sales segment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2024, as compared with 2023, primarily due to (i) net charges of $122 million recognized in 2023 related to a goodwill impairment and reversal of contingent consideration, as discussed below and (ii) benefits from the automation of our recycling facilities as well as investments in new facilities and cost management. These improvements were partially offset by the impact of higher costs incurred from the temporary shutdown of facilities for technology upgrades.</w:t>
      </w:r>
    </w:p>
    <w:p>
      <w:pPr>
        <w:spacing w:after="0" w:line="18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Income from operations in our Recycling Processing and Sales segment decreased in 2023, as compared with 2022, primarily due to (i) a $168 million goodwill impairment charge, with $22 million attributable to noncontrolling interests, which was partially offset by the recognition of $46 million of income related to the reversal of contingent consideration as discussed above in </w:t>
      </w:r>
      <w:r>
        <w:rPr>
          <w:rFonts w:ascii="Times New Roman" w:cs="Times New Roman" w:eastAsia="Times New Roman" w:hAnsi="Times New Roman"/>
          <w:sz w:val="18"/>
          <w:szCs w:val="18"/>
          <w:i w:val="1"/>
          <w:iCs w:val="1"/>
          <w:color w:val="auto"/>
        </w:rPr>
        <w:t>(Gain) Loss from Divestitures, Asset Impairments and Unusual Items, Net</w:t>
      </w:r>
      <w:r>
        <w:rPr>
          <w:rFonts w:ascii="Times New Roman" w:cs="Times New Roman" w:eastAsia="Times New Roman" w:hAnsi="Times New Roman"/>
          <w:sz w:val="18"/>
          <w:szCs w:val="18"/>
          <w:color w:val="auto"/>
        </w:rPr>
        <w:t>; (ii) a decline in recycling commodity prices; (iii) lower revenue resulting from the temporary shutdown of facilities for technology upgrades combined with increased costs associated with the transportation and third-party tip fees for processing recyclables and (iv) startup costs linked to the establishment of a new processing facility.</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WM Renewable Energy </w:t>
      </w:r>
      <w:r>
        <w:rPr>
          <w:rFonts w:ascii="Times New Roman" w:cs="Times New Roman" w:eastAsia="Times New Roman" w:hAnsi="Times New Roman"/>
          <w:sz w:val="18"/>
          <w:szCs w:val="18"/>
          <w:color w:val="auto"/>
        </w:rPr>
        <w:t>— Income from operations in our WM Renewable Energy segment increased in 2024,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with 2023, primarily due to (i) higher RIN quantities generated and sold at higher market values in the current year and (ii) increased beneficial use of landfill gas sold to third parties due to the completion of additional projects. Income from operations in our WM Renewable Energy segment decreased in 2023, as compared with 2022, primarily due to (i) lower energy prices and the value of RINs and (ii) increased operating and selling, general and administrative costs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associated with the construction of new projects to increase the beneficial use of landfill gas. These decreases were partially offset by an increase in volume of RFS credits, electricity and natural gas.</w:t>
      </w:r>
    </w:p>
    <w:p>
      <w:pPr>
        <w:spacing w:after="0" w:line="16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WM Healthcare Solutions </w:t>
      </w:r>
      <w:r>
        <w:rPr>
          <w:rFonts w:ascii="Times New Roman" w:cs="Times New Roman" w:eastAsia="Times New Roman" w:hAnsi="Times New Roman"/>
          <w:sz w:val="18"/>
          <w:szCs w:val="18"/>
          <w:color w:val="auto"/>
        </w:rPr>
        <w:t>— Our WM Healthcare Solutions segment generated a loss of $69 million in 2024,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largely attributable to acquisition and integration related expenses. There is no 2023 or 2022 activity as Stericycle was acquired on November 4, 2024.</w:t>
      </w:r>
    </w:p>
    <w:p>
      <w:pPr>
        <w:spacing w:after="0" w:line="173"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 The costs incurred by our Corporate and Other segment increased in 2024, as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primarily due to (i) increased professional and transaction fees to support strategic initiatives, including our acquisition of Stericycle; (ii) higher annual and long-term incentive compensation costs and (iii) an increase in risk management costs due to an increase in our large loss reserves as well as higher auto and workers compensation claims. This increase was partially offset by the impact of non-cash impairment charges for certain investments incurred in 2023, as discussed below.</w:t>
      </w:r>
    </w:p>
    <w:p>
      <w:pPr>
        <w:spacing w:after="0" w:line="18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Income from operations in Corporate and Other decreased in 2023, as compared with 2022, primarily due to impairment charges of (i) $107 million for certain investments in waste diversion technology businesses and (ii) $17 million to adjust an indirect wholly-owned subsidiary’s estimated potential share of the liability for a proposed environmental remediation plan at a closed site.</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interest expense, net was $598 million, $500 million and $378 million in 2024, 2023 and 2022, respectively. The increase in interest expense, net for 2024 is primarily related to an increase in our average debt balances to fund our acquisition of Stericycle. The increase in interest expense, net for 2023 is primarily related to an increase in our weighted average borrowing rate of approximately 80 basis points due to increased rates on floating-rate debt and higher fixed rates on refinancing as well as an increase in average debt balances to fund growth. Partially offsetting these increases were benefits from higher capitalized interest and increases in interest income as a result of higher cash and cash equivalent balances as well as higher investment rates. See Note 6 to the Consolidated Financial Statements for more information related to our debt balances.</w:t>
      </w:r>
    </w:p>
    <w:p>
      <w:pPr>
        <w:spacing w:after="0" w:line="1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 Net</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October 2024, we drew $5.2 billion of borrowings under the Term Credit Agreement that were applied to funding our acquisition of Stericycle. In November 2024, we repaid all outstanding borrowings with net proceeds from our November 2024 issuance of $5.2 billion of senior notes and contemporaneously terminated the Term Credit Agreement, resulting in a $7 million loss on early extinguishment of debt.</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Equity in Net Income (Losses) of Unconsolidated Entities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recognized equity method investment income of $4 million in 2024 and losses of $60 million and $67 million in 2023 and 2022, respectively. These financial statement impacts are largely related to our noncontrolling interests in entities established to invest in and manage low-income housing properties. In 2024, we adopted Accounting Standards Update (“ASU”) 2023-02, and, as a result, beginning in 2024, the amortization of these investments is recognized as a component of income tax expense. Refer to Notes 2 and 8 to the Consolidated Financial Statements for further discussion. We generate tax benefits, including tax credits, from the losses incurred from these investments. The losses are more than offset by the tax benefits generated by these investments as further discussed in Notes 8 and 18 to the Consolidated Financial Statements.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recorded income tax expense of $713 million, $745 million and $678 million in 2024, 2023 and 2022, respectively, resulting in effective income tax rates of 20.6%, 24.7% and 23.2% for the years ended December 31, 2024, 2023 and 2022, respectively. The comparability of our income tax expense for the reported periods has been primarily affected by the following:</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720" w:right="79" w:hanging="319"/>
        <w:spacing w:after="0" w:line="25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Renewable Natural Gas — </w:t>
      </w:r>
      <w:r>
        <w:rPr>
          <w:rFonts w:ascii="Times New Roman" w:cs="Times New Roman" w:eastAsia="Times New Roman" w:hAnsi="Times New Roman"/>
          <w:sz w:val="18"/>
          <w:szCs w:val="18"/>
          <w:color w:val="auto"/>
        </w:rPr>
        <w:t>Through our subsidiaries, including our WM Renewable Energy segment,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invested in building landfill gas-to-energy facilities in the U.S. and Canada that produce renewable electricity and RNG. We expect our new RNG facilities to qualify for federal tax credits and to realize those credits through 2027 under Sections 48 and 45Z of the Internal Revenue Code. We completed construction of five RNG facilities in 2024 and one RNG facility in 2023, resulting in a reduction to our income tax expense of $137 million and $8 million, respectively, for investment tax credits under Section 48 (additional information related to these tax credits is included below under the Tax Legislation section);</w:t>
      </w:r>
    </w:p>
    <w:p>
      <w:pPr>
        <w:spacing w:after="0" w:line="74"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Low-Income Housing </w:t>
      </w:r>
      <w:r>
        <w:rPr>
          <w:rFonts w:ascii="Times New Roman" w:cs="Times New Roman" w:eastAsia="Times New Roman" w:hAnsi="Times New Roman"/>
          <w:sz w:val="18"/>
          <w:szCs w:val="18"/>
          <w:color w:val="auto"/>
        </w:rPr>
        <w:t>— As a result of adopting ASU 2023-02, we amortize our investments in these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proportional amortization method. Under the proportional amortization method, the equity investment is amortized in proportion to the income tax credits and other income tax benefits received. The amortization expense and the income tax credits are required to be presented on a net basis in income tax expense on the Consolidated Statements of Operations. Prior to fiscal year 2024, we accounted for our investments in these entities using the equity method of accounting, recognizing our share of each entity’s results of operations and other reductions in the value of our investments in equity in net income (losses) of unconsolidated entities, within our Consolidated Statements of Operations. We recognized additional income tax expense of $78 million in 2024, related to amortization under ASU 2023-02. We recognized net losses of $66 million and $65 million in 2023 and 2022, respectively, and a reduction in our income tax expense of $104 million, $108 million and $99 million in 2024, 2023, and 2022, respectively, primarily due to federal tax credits realized from these investments as well as the tax benefits from the pre-tax losses realized. See Notes 2, 8, and 18 to the Consolidated Financial Statements for additional information related to these unconsolidated variable interest entities;</w:t>
      </w:r>
    </w:p>
    <w:p>
      <w:pPr>
        <w:spacing w:after="0" w:line="79"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Implications of Impairments </w:t>
      </w:r>
      <w:r>
        <w:rPr>
          <w:rFonts w:ascii="Times New Roman" w:cs="Times New Roman" w:eastAsia="Times New Roman" w:hAnsi="Times New Roman"/>
          <w:sz w:val="18"/>
          <w:szCs w:val="18"/>
          <w:color w:val="auto"/>
        </w:rPr>
        <w:t>— During the years ended December 31, 2024 and 2023, we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income tax expense of $14 million and $50 million, respectively, due to non-cash impairment charges that were not deductible for tax purposes in the year of impairment. The non-cash impairment charge recognized during 2022 was deductible for tax purposes. See Note 11 to the Consolidated Financial Statements for more information related to our impairment charges; and</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Legislation </w:t>
      </w:r>
      <w:r>
        <w:rPr>
          <w:rFonts w:ascii="Times New Roman" w:cs="Times New Roman" w:eastAsia="Times New Roman" w:hAnsi="Times New Roman"/>
          <w:sz w:val="18"/>
          <w:szCs w:val="18"/>
          <w:color w:val="auto"/>
        </w:rPr>
        <w:t>— The Inflation Reduction Act of 2022 (“IRA”) contains several tax-related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with respect to (i) alternative fuel tax credits; (ii) tax incentives for investments in renewable energy production, carbon capture, and other climate actions and (iii)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The provisions of the IRA related to alternative fuel tax credits secure approximately $60 million of annual pre-tax benefit (recorded as a reduction in our operating expense) from tax credits in 2023 and 2024. The alternative fuel credit expired at the end of 2024 and will not provide any future benefit to the Company absent further legislative action. With respect to the investment tax credit, we expect the cumulative benefit to be between $300 million and $400 million, a large portion of which is anticipated to be realized in 2024 through 2026. The expected benefit from the investment tax credit for 2025 and 2026 is dependent on a number of estimates and assumptions, including the timing of project completion. Finally, we expect that the production tax credit incentives for investments in renewable energy and carbon capture, as expanded by the IRA, will likely result in an incremental benefit to the Company, although at this time, the anticipated amount of such benefit has not been quantified due, in part, to the lack of regulatory guidance.</w:t>
      </w:r>
    </w:p>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8 to the Consolidated Financial Statements for more information related to income taxes.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Landfill and Environmental Remediation Discussion and Analysis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owned or operated 257 solid waste landfills and five secure hazardous waste landfills as of December 31, 2024 and 258 solid waste landfills and five secure hazardous waste landfills as of December 31, 2023. For these landfills, the following table reflects changes in capacity, as measured in tons of waste, for the year ended December 31 and remaining airspace, measured in cubic yards of waste, as of December 31 (in millions):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2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Expansion</w:t>
            </w:r>
          </w:p>
        </w:tc>
        <w:tc>
          <w:tcPr>
            <w:tcW w:w="60" w:type="dxa"/>
            <w:vAlign w:val="bottom"/>
          </w:tcPr>
          <w:p>
            <w:pPr>
              <w:spacing w:after="0"/>
              <w:rPr>
                <w:sz w:val="12"/>
                <w:szCs w:val="12"/>
                <w:color w:val="auto"/>
              </w:rPr>
            </w:pPr>
          </w:p>
        </w:tc>
        <w:tc>
          <w:tcPr>
            <w:tcW w:w="54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Expansion</w:t>
            </w:r>
          </w:p>
        </w:tc>
        <w:tc>
          <w:tcPr>
            <w:tcW w:w="56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Permitted</w:t>
            </w: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Permitted</w:t>
            </w:r>
          </w:p>
        </w:tc>
        <w:tc>
          <w:tcPr>
            <w:tcW w:w="760" w:type="dxa"/>
            <w:vAlign w:val="bottom"/>
            <w:gridSpan w:val="3"/>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40" w:type="dxa"/>
            <w:vAlign w:val="bottom"/>
          </w:tcPr>
          <w:p>
            <w:pPr>
              <w:spacing w:after="0"/>
              <w:rPr>
                <w:sz w:val="15"/>
                <w:szCs w:val="15"/>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Capacity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year (in tons)</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 divestitures, newly permitted landfills and closures</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expansions pursued (a)</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Expansion permits granted (b)</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Depletable tons received</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engineering estimates and other (c)</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end of year (in tons) (d)</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Balance as of end of year (in cubic yards) (d)</w:t>
            </w:r>
          </w:p>
        </w:tc>
        <w:tc>
          <w:tcPr>
            <w:tcW w:w="8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gridSpan w:val="3"/>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5,049</w:t>
            </w:r>
          </w:p>
        </w:tc>
        <w:tc>
          <w:tcPr>
            <w:tcW w:w="6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60" w:type="dxa"/>
            <w:vAlign w:val="bottom"/>
            <w:vMerge w:val="continue"/>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5,214</w:t>
            </w:r>
          </w:p>
        </w:tc>
        <w:tc>
          <w:tcPr>
            <w:tcW w:w="6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5,079</w:t>
            </w:r>
          </w:p>
        </w:tc>
        <w:tc>
          <w:tcPr>
            <w:tcW w:w="40" w:type="dxa"/>
            <w:vAlign w:val="bottom"/>
            <w:vMerge w:val="continue"/>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60" w:type="dxa"/>
            <w:vAlign w:val="bottom"/>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79" w:hanging="330"/>
        <w:spacing w:after="0" w:line="266"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reflected here relate to the combined impacts of (i) new expansions pursued; (ii) increases or decreases in the airspace being pursued for ongoing expansion efforts; (iii) adjustments for differences between the airspace being pursued and airspace granted and (iv) decreases due to decisions to no longer pursue expansion permits, if any.</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expansion permits at 11 of our landfills during 2024 and 13 of our landfills during 2023, demonstrating our continued success in working with municipalities and regulatory agencies to expand the disposal airspace of our existing landfills.</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54"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engineering estimates can result in changes to the estimated available remaining airspace of a landfill or changes in the utilization of such landfill airspace,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anticipated access to moisture through precipitation or recirculation of landfill leachate and operating practices. We continually focus on improving the utilization of airspace through efforts that may include recirculating landfill leachate where allowed by permit; optimizing the placement of daily cover materials and increasing initial compaction through improved landfill equipment, operations and training.</w:t>
      </w:r>
    </w:p>
    <w:p>
      <w:pPr>
        <w:spacing w:after="0" w:line="80"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to the Consolidated Financial Statements for discussion of converting remaining cubic yards of airspace to tons of capacity.</w:t>
      </w:r>
    </w:p>
    <w:p>
      <w:pPr>
        <w:spacing w:after="0" w:line="161"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depletable tons received at our landfills for the year ended December 31 are shown below (tons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6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Depletable</w:t>
            </w:r>
          </w:p>
        </w:tc>
        <w:tc>
          <w:tcPr>
            <w:tcW w:w="160" w:type="dxa"/>
            <w:vAlign w:val="bottom"/>
          </w:tcPr>
          <w:p>
            <w:pPr>
              <w:spacing w:after="0"/>
              <w:rPr>
                <w:sz w:val="10"/>
                <w:szCs w:val="10"/>
                <w:color w:val="auto"/>
              </w:rPr>
            </w:pPr>
          </w:p>
        </w:tc>
        <w:tc>
          <w:tcPr>
            <w:tcW w:w="5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Tons per</w:t>
            </w:r>
          </w:p>
        </w:tc>
        <w:tc>
          <w:tcPr>
            <w:tcW w:w="160" w:type="dxa"/>
            <w:vAlign w:val="bottom"/>
          </w:tcPr>
          <w:p>
            <w:pPr>
              <w:spacing w:after="0"/>
              <w:rPr>
                <w:sz w:val="10"/>
                <w:szCs w:val="10"/>
                <w:color w:val="auto"/>
              </w:rPr>
            </w:pPr>
          </w:p>
        </w:tc>
        <w:tc>
          <w:tcPr>
            <w:tcW w:w="5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Depletable</w:t>
            </w:r>
          </w:p>
        </w:tc>
        <w:tc>
          <w:tcPr>
            <w:tcW w:w="20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Tons per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Sites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Tons</w:t>
            </w:r>
          </w:p>
        </w:tc>
        <w:tc>
          <w:tcPr>
            <w:tcW w:w="160" w:type="dxa"/>
            <w:vAlign w:val="bottom"/>
          </w:tcPr>
          <w:p>
            <w:pPr>
              <w:spacing w:after="0"/>
              <w:rPr>
                <w:sz w:val="15"/>
                <w:szCs w:val="15"/>
                <w:color w:val="auto"/>
              </w:rPr>
            </w:pP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Day</w:t>
            </w:r>
          </w:p>
        </w:tc>
        <w:tc>
          <w:tcPr>
            <w:tcW w:w="160" w:type="dxa"/>
            <w:vAlign w:val="bottom"/>
          </w:tcPr>
          <w:p>
            <w:pPr>
              <w:spacing w:after="0"/>
              <w:rPr>
                <w:sz w:val="15"/>
                <w:szCs w:val="15"/>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Sites</w:t>
            </w:r>
          </w:p>
        </w:tc>
        <w:tc>
          <w:tcPr>
            <w:tcW w:w="7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Tons</w:t>
            </w:r>
          </w:p>
        </w:tc>
        <w:tc>
          <w:tcPr>
            <w:tcW w:w="200" w:type="dxa"/>
            <w:vAlign w:val="bottom"/>
          </w:tcPr>
          <w:p>
            <w:pPr>
              <w:spacing w:after="0"/>
              <w:rPr>
                <w:sz w:val="15"/>
                <w:szCs w:val="15"/>
                <w:color w:val="auto"/>
              </w:rPr>
            </w:pP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Day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Solid waste landfills (a)</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124,271</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122,141</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Hazardous waste landfills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24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gridSpan w:val="2"/>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Solid waste landfills closed, divested or lease or other</w:t>
            </w: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66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contractual agreement expired during related year</w:t>
            </w:r>
          </w:p>
        </w:tc>
        <w:tc>
          <w:tcPr>
            <w:tcW w:w="66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24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125,010</w:t>
            </w: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122,799</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left="4420" w:right="699" w:hanging="4370"/>
        <w:spacing w:after="0" w:line="783"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and 2023, we had 15 and 17 landfills, respectively, which were not accepting waste.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we owned or managed 239 sites that are either in closure or post-closure, have received a certification post-closure, or are regulated under a remedial action plan.</w:t>
      </w:r>
    </w:p>
    <w:p>
      <w:pPr>
        <w:spacing w:after="0" w:line="16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Based on remaining permitted airspace as of December 31, 2024 and projected annual disposal volume, the weighted average remaining landfill life for all of our owned or operated landfills is approximately 38 years. Many of our landfills have the potential for expanded airspace beyond what is currently permitted. We monitor the availability of permitted airspace at each of our landfills and evaluate whether to pursue an expansion at a given landfill based on estimated future disposal volume, disposal prices, construction and operating costs, remaining airspace and likelihood of obtaining an expansion permit. We are seeking expansion permits at 18 of our landfills that meet the expansion criteria outlined in the </w:t>
      </w:r>
      <w:r>
        <w:rPr>
          <w:rFonts w:ascii="Times New Roman" w:cs="Times New Roman" w:eastAsia="Times New Roman" w:hAnsi="Times New Roman"/>
          <w:sz w:val="18"/>
          <w:szCs w:val="18"/>
          <w:i w:val="1"/>
          <w:iCs w:val="1"/>
          <w:color w:val="auto"/>
        </w:rPr>
        <w:t xml:space="preserve">Critical Accounting Estimates and Assumptions — Landfills </w:t>
      </w:r>
      <w:r>
        <w:rPr>
          <w:rFonts w:ascii="Times New Roman" w:cs="Times New Roman" w:eastAsia="Times New Roman" w:hAnsi="Times New Roman"/>
          <w:sz w:val="18"/>
          <w:szCs w:val="18"/>
          <w:color w:val="auto"/>
        </w:rPr>
        <w:t>section below. Although no assurances can be made that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expansions will be permitted or permitted as designed, the weighted average remaining landfill life for all owned or operated landfills is approximately 39 years when considering remaining permitted airspace, expansion airspace and projected annual disposal volume.</w:t>
      </w:r>
    </w:p>
    <w:p>
      <w:pPr>
        <w:spacing w:after="0" w:line="19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number of landfills owned or operated as of December 31, 2024, segregated by their estimated operating lives based on remaining permitted and expansion airspace and projected annual disposal volume, was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55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of Landfills</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 to 5 years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to 10 years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 to 20 years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 to 40 years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41+ years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9"/>
              </w:rPr>
              <w:t>(a)</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5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63" w:lineRule="exact"/>
        <w:rPr>
          <w:sz w:val="20"/>
          <w:szCs w:val="20"/>
          <w:color w:val="auto"/>
        </w:rPr>
      </w:pPr>
    </w:p>
    <w:p>
      <w:pPr>
        <w:jc w:val="both"/>
        <w:ind w:left="380" w:right="79" w:hanging="330"/>
        <w:spacing w:after="0" w:line="266"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262 landfills, 221 are owned, 29 are operated under lease agreements and 12 are operated under other contractual agreements. For the landfills not owned, we are usually responsible for final capping, closure and post-closure obligations.</w:t>
      </w:r>
    </w:p>
    <w:p>
      <w:pPr>
        <w:spacing w:after="0" w:line="174"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Landfill Assets — </w:t>
      </w:r>
      <w:r>
        <w:rPr>
          <w:rFonts w:ascii="Times New Roman" w:cs="Times New Roman" w:eastAsia="Times New Roman" w:hAnsi="Times New Roman"/>
          <w:sz w:val="18"/>
          <w:szCs w:val="18"/>
          <w:color w:val="auto"/>
        </w:rPr>
        <w:t>We capitalize various costs that we incur to prepare a landfill to accept waste. These costs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which are discussed further below.</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changes to the cost basis of our landfill assets and accumulated landfill airspace depletion for the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are reflected in the table below (in millions):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Cost Basis of</w:t>
            </w:r>
          </w:p>
        </w:tc>
        <w:tc>
          <w:tcPr>
            <w:tcW w:w="140" w:type="dxa"/>
            <w:vAlign w:val="bottom"/>
          </w:tcPr>
          <w:p>
            <w:pPr>
              <w:spacing w:after="0"/>
              <w:rPr>
                <w:sz w:val="13"/>
                <w:szCs w:val="13"/>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75"/>
        </w:trPr>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Landfill Airspace</w:t>
            </w:r>
          </w:p>
        </w:tc>
        <w:tc>
          <w:tcPr>
            <w:tcW w:w="200" w:type="dxa"/>
            <w:vAlign w:val="bottom"/>
          </w:tcPr>
          <w:p>
            <w:pPr>
              <w:spacing w:after="0"/>
              <w:rPr>
                <w:sz w:val="15"/>
                <w:szCs w:val="15"/>
                <w:color w:val="auto"/>
              </w:rPr>
            </w:pPr>
          </w:p>
        </w:tc>
        <w:tc>
          <w:tcPr>
            <w:tcW w:w="13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Landfill Assets</w:t>
            </w:r>
          </w:p>
        </w:tc>
        <w:tc>
          <w:tcPr>
            <w:tcW w:w="140" w:type="dxa"/>
            <w:vAlign w:val="bottom"/>
          </w:tcPr>
          <w:p>
            <w:pPr>
              <w:spacing w:after="0"/>
              <w:rPr>
                <w:sz w:val="15"/>
                <w:szCs w:val="15"/>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Depletion</w:t>
            </w:r>
          </w:p>
        </w:tc>
        <w:tc>
          <w:tcPr>
            <w:tcW w:w="200" w:type="dxa"/>
            <w:vAlign w:val="bottom"/>
          </w:tcPr>
          <w:p>
            <w:pPr>
              <w:spacing w:after="0"/>
              <w:rPr>
                <w:sz w:val="15"/>
                <w:szCs w:val="15"/>
                <w:color w:val="auto"/>
              </w:rPr>
            </w:pPr>
          </w:p>
        </w:tc>
        <w:tc>
          <w:tcPr>
            <w:tcW w:w="13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Landfill Assets</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additions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Asset retirement obligations incurred and</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Depletion of landfill airspace</w:t>
            </w:r>
          </w:p>
        </w:tc>
        <w:tc>
          <w:tcPr>
            <w:tcW w:w="2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(795)</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retirements and other adjustments</w:t>
            </w: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we estimate that we will spend approximately $845 million in 2025, and approximately $1.8 billion in 2026 and 2027 combined, for the construction and development of our landfill assets. The specific timing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of landfill capital spending is dependent on future events and spending estimates are subject to change due to fluctuations in landfill waste volumes, changes in environmental requirements and other factors impacting landfill operations.</w:t>
      </w:r>
    </w:p>
    <w:p>
      <w:pPr>
        <w:spacing w:after="0" w:line="16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Landfill and Environmental Remediation Liabilities — </w:t>
      </w:r>
      <w:r>
        <w:rPr>
          <w:rFonts w:ascii="Times New Roman" w:cs="Times New Roman" w:eastAsia="Times New Roman" w:hAnsi="Times New Roman"/>
          <w:sz w:val="18"/>
          <w:szCs w:val="18"/>
          <w:color w:val="auto"/>
        </w:rPr>
        <w:t>As we accept waste at our landfills, we incur significant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retirement obligations, which include liabilities associated with landfill final capping, closure and post-closure activities. These liabilities are accounted for in accordance with authoritative guidance on accounting for asset retirement obligations and are discussed in Note 2 to the Consolidated Financial Statements. We also have liabilities for the remediation of properties that have incurred environmental damage, which generally was caused by operations or for damage caused by conditions that existed before we acquired operations or a site. We recognize environmental remediation liabilities when we determine that the liability is probable and the cost for the likely remedy can be reasonably estimated.</w:t>
      </w:r>
    </w:p>
    <w:p>
      <w:pPr>
        <w:spacing w:after="0" w:line="18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changes to landfill and environmental remediation liabilities for the year ended December 31, 2024 are reflected in the table below (in millions):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Environmental</w:t>
            </w: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Obligations incurred and capitalized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Obligations settled</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accretion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Revisions in estimates and interest rate assumptions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 divestitures and other adjustments</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Landfill Operating Costs — </w:t>
      </w:r>
      <w:r>
        <w:rPr>
          <w:rFonts w:ascii="Times New Roman" w:cs="Times New Roman" w:eastAsia="Times New Roman" w:hAnsi="Times New Roman"/>
          <w:sz w:val="18"/>
          <w:szCs w:val="18"/>
          <w:color w:val="auto"/>
        </w:rPr>
        <w:t>The following table summarizes our landfill operating costs for the year ended</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(in millions):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accretion on landfill and environmental remediation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Leachate and methane collection and treatment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198"/>
        </w:trPr>
        <w:tc>
          <w:tcPr>
            <w:tcW w:w="6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Landfill remediation costs and discount rate adjustments to environmental</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34"/>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remediation liabilities and recovery assets</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landfill site costs</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9"/>
        </w:trPr>
        <w:tc>
          <w:tcPr>
            <w:tcW w:w="6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landfill operating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0"/>
        </w:trPr>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Depletion of Landfill Airspace </w:t>
      </w:r>
      <w:r>
        <w:rPr>
          <w:rFonts w:ascii="Times New Roman" w:cs="Times New Roman" w:eastAsia="Times New Roman" w:hAnsi="Times New Roman"/>
          <w:sz w:val="18"/>
          <w:szCs w:val="18"/>
          <w:color w:val="auto"/>
        </w:rPr>
        <w:t>— Depletion of landfill airspace, which is included as a component of depreciation,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depletion and amortization expenses, includes the following:</w:t>
      </w:r>
    </w:p>
    <w:p>
      <w:pPr>
        <w:spacing w:after="0" w:line="52" w:lineRule="exact"/>
        <w:rPr>
          <w:sz w:val="20"/>
          <w:szCs w:val="20"/>
          <w:color w:val="auto"/>
        </w:rPr>
      </w:pPr>
    </w:p>
    <w:p>
      <w:pPr>
        <w:jc w:val="both"/>
        <w:ind w:left="720" w:right="79" w:hanging="319"/>
        <w:spacing w:after="0" w:line="266"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depletion of landfill capital costs, including (i) costs that have been incurred and capitalized and (ii) estimated future costs for landfill development and construction required to develop our landfills to their remaining permitted and expansion airspace; and</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depletion of asset retirement costs arising from landfill final capping, closure and post-closure obligations, including (i) costs that have been incurred and capitalized and (ii) projected asset retirement costs.</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Depletion expense is recorded on a units-of-consumption basis, applying cost as a rate per ton. The rate per ton is calculated by dividing each component of the depletable basis of a landfill (net of accumulated depletion) by the number of tons needed to fill the corresponding asset’s remaining permitted and expansion airspace. Landfill capital costs and closure and post-closure asset retirement costs are generally incurred to support the operation of the landfill over its entire operating life and are, therefore, depleted on a per-ton basis using a landfill’s total permitted and expansion airspace. Final capping asset retirement costs are related to a specific final capping event and are, therefore, depleted on a per-ton basis using each discrete final capping event’s estimated permitted and expansion airspace. Accordingly, each landfill has multiple per-ton depletion rates.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our  landfill  airspace  depletion  expense  on  a  per-ton  basis  for  the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8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of landfill airspace (in millions)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Tons received, net of redirected waste (in millions)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landfill airspace depletion expense per ton</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bl>
    <w:p>
      <w:pPr>
        <w:spacing w:after="0" w:line="198"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Different per-ton depletion rates are applied at each of our 262 landfills, and per-ton depletion rates vary significantly from one landfill to another due to (i) inconsistencies that often exist in construction costs and provincial, state and local regulatory requirements for landfill development and landfill final capping, closure and post-closure activities and</w:t>
      </w:r>
    </w:p>
    <w:p>
      <w:pPr>
        <w:spacing w:after="0" w:line="1" w:lineRule="exact"/>
        <w:rPr>
          <w:sz w:val="20"/>
          <w:szCs w:val="20"/>
          <w:color w:val="auto"/>
        </w:rPr>
      </w:pPr>
    </w:p>
    <w:p>
      <w:pPr>
        <w:jc w:val="both"/>
        <w:ind w:left="60" w:right="59" w:hanging="10"/>
        <w:spacing w:after="0" w:line="255" w:lineRule="auto"/>
        <w:tabs>
          <w:tab w:leader="none" w:pos="3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the cost basis of landfills that we develop versus those that we acquire. Accordingly, our landfill airspace depletion expense measured on a per-ton basis can fluctuate due to changes in the mix of volumes we receive across the Company each year.</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consistently generates annual cash flow from operations that meets and exceeds our working capital needs, allows for payment of our dividends, investment in the business through capital expenditures and tuck-in acquisitions, and funding of strategic sustainability growth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diverse investor base, large value of unencumbered assets and modest leverage enable it to obtain adequate financing, and refinance upcoming maturities, as necessary to meet its ongoing capital, operating, strategic and other liquidity requirements. We also have the ability to manage liquidity during periods of significant financial market disruption through temporary modification of our capital expenditure and share repurchase plans.</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Summary of Contractual Obligations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significant contractual obligations as of December 31, 2024 (other than recorded obligations related to liabilities associated with environmental remediation costs and non-cancelable operating lease obligations, which are discussed further in Notes 3 and 7 to the Consolidated Financial Statements, respectively) and the anticipated effect of these obligations on our liquidity in future years (in millions):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2029</w:t>
            </w:r>
          </w:p>
        </w:tc>
        <w:tc>
          <w:tcPr>
            <w:tcW w:w="8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20" w:type="dxa"/>
            <w:vAlign w:val="bottom"/>
          </w:tcPr>
          <w:p>
            <w:pPr>
              <w:spacing w:after="0"/>
              <w:rPr>
                <w:sz w:val="15"/>
                <w:szCs w:val="15"/>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Recorded Obligations:</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Final capping, closure and post-closure liabilities (a)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payments (b)</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24,079</w:t>
            </w: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Unrecorded Obligations: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on debt (c)</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9,205</w:t>
            </w:r>
          </w:p>
        </w:tc>
      </w:tr>
      <w:tr>
        <w:trPr>
          <w:trHeight w:val="216"/>
        </w:trPr>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Estimated unconditional purchase obligations (d)</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09"/>
        </w:trPr>
        <w:tc>
          <w:tcPr>
            <w:tcW w:w="40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shd w:val="clear" w:color="auto" w:fill="CCEEFF"/>
              </w:rPr>
              <w:t>Anticipated liquidity impact as of December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3,992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shd w:val="clear" w:color="auto" w:fill="CCEEFF"/>
              </w:rPr>
              <w:t>2,128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3,267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shd w:val="clear" w:color="auto" w:fill="CCEEFF"/>
              </w:rPr>
              <w:t>2,998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2,929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24,166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39,480</w:t>
            </w:r>
          </w:p>
        </w:tc>
      </w:tr>
      <w:tr>
        <w:trPr>
          <w:trHeight w:val="20"/>
        </w:trPr>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bl>
    <w:p>
      <w:pPr>
        <w:spacing w:after="0" w:line="63" w:lineRule="exact"/>
        <w:rPr>
          <w:sz w:val="20"/>
          <w:szCs w:val="20"/>
          <w:color w:val="auto"/>
        </w:rPr>
      </w:pPr>
    </w:p>
    <w:p>
      <w:pPr>
        <w:jc w:val="both"/>
        <w:ind w:left="380" w:right="79" w:hanging="330"/>
        <w:spacing w:after="0" w:line="261"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liabilities for final capping, closure and post-closure costs recorded in our Consolidated Balance Sheet as of December 31, 2024, without the impact of discounting and inflation. Our recorded liabilities for final capping, closure and post-closure costs will increase as we continue to place additional tons within the permitted airspace at our landfills.</w:t>
      </w:r>
    </w:p>
    <w:p>
      <w:pPr>
        <w:spacing w:after="0" w:line="71"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scheduled principal payments based on their contractual maturities related to our long-term debt and financing leases, excluding interest. Refer to Note 6 to the Consolidated Financial Statements for additional information regarding our debt obligations.</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our fixed-rate debt was calculated based on contractual rates and interest on our variable-rate debt was calculated based on interest rates as of December 31, 2024. As of December 31, 2024, we had $251 million of accrued interest related to our debt obligations.</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380" w:right="79" w:hanging="330"/>
        <w:spacing w:after="0" w:line="250"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represent purchase commitments from which we expect to realize an economic benefit in future periods. We have also made certain guarantees that we do not expect to materially affect our current or future financial position, results of operations or liquidity. See Note 10 to the Consolidated Financial Statements for discussion of the nature and terms of our unconditional purchase obligations and guarantees.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and Cash Equivalents, Restricted Funds and Debt Obligations</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cash and cash equivalents, restricted funds and debt balances as of December 31 (in millions):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396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Restricted funds:</w:t>
            </w: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Insurance reserves</w:t>
            </w: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Final capping, closure, post-closure and environmental remediation funds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Total restricted funds (a)</w:t>
            </w:r>
          </w:p>
        </w:tc>
        <w:tc>
          <w:tcPr>
            <w:tcW w:w="7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Debt:</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portion</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00" w:type="dxa"/>
            <w:vAlign w:val="bottom"/>
          </w:tcPr>
          <w:p>
            <w:pPr>
              <w:spacing w:after="0"/>
              <w:rPr>
                <w:sz w:val="18"/>
                <w:szCs w:val="18"/>
                <w:color w:val="auto"/>
              </w:rPr>
            </w:pP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portion</w:t>
            </w:r>
          </w:p>
        </w:tc>
        <w:tc>
          <w:tcPr>
            <w:tcW w:w="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debt</w:t>
            </w:r>
          </w:p>
        </w:tc>
        <w:tc>
          <w:tcPr>
            <w:tcW w:w="7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79" w:hanging="330"/>
        <w:spacing w:after="0" w:line="282"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and 2023, $100 million and $90 million, respectively, of these account balances was included in other current assets in our Consolidated Balance Sheets.</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We use long-term borrowings in addition to the cash we generate from operations as part of our overall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strategy to support and grow our business. We primarily use senior notes and tax-exempt bonds to borrow on a long-term basis, but we also use other instruments and facilities, when appropriate. The components of our borrowings as of December 31, 2024 are described in Note 6 to the Consolidated Financial Statements.</w:t>
      </w:r>
    </w:p>
    <w:p>
      <w:pPr>
        <w:spacing w:after="0" w:line="18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2024, we had approximately $4.0 billion of debt maturing within the next 12 months, including (i) $1.4 billion of tax-exempt bonds with term interest rate periods that expire within the next 12 months, which is prior to their scheduled maturities; (ii) $1.2 billion of short-term borrowings under our commercial paper program (net of related discount on issuance); (iii) $422 million of 3.125% senior notes that mature in March 2025; (iv) $500 million of 0.750% senior notes that mature in November 2025 and (v) $438 million of other debt with scheduled maturities within the next 12 months, including $298 million of tax-exempt bonds. As of December 31, 2024, we have classified $2.6 billion of debt maturing in the next 12 months as long term because we have the intent and ability to refinance these borrowings on a long-term basis as supported by the forecasted available capacity under our $3.5 billion long-term U.S. and Canadian revolving credit facility (“$3.5 billion revolving credit facility”). The remaining $1.4 billion of debt maturing in the next 12 months is classified as current obligations.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60" w:right="59" w:firstLine="25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 In July 2024, WMI issued $750 million of 4.950% senior notes due July 2027 and $750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4.950% notes due July 2031, the net proceeds of which were $1.49 billion. The net proceeds were used primarily to reduce outstanding borrowings under our commercial paper program. We also repaid $156 million of WMI’s 3.500% senior notes upon maturity in May 2024.</w:t>
      </w:r>
    </w:p>
    <w:p>
      <w:pPr>
        <w:spacing w:after="0" w:line="162" w:lineRule="exact"/>
        <w:rPr>
          <w:sz w:val="20"/>
          <w:szCs w:val="20"/>
          <w:color w:val="auto"/>
        </w:rPr>
      </w:pPr>
    </w:p>
    <w:p>
      <w:pPr>
        <w:jc w:val="both"/>
        <w:ind w:left="60" w:right="59" w:firstLine="259"/>
        <w:spacing w:after="0" w:line="242" w:lineRule="auto"/>
        <w:rPr>
          <w:sz w:val="20"/>
          <w:szCs w:val="20"/>
          <w:color w:val="auto"/>
        </w:rPr>
      </w:pPr>
      <w:r>
        <w:rPr>
          <w:rFonts w:ascii="Times New Roman" w:cs="Times New Roman" w:eastAsia="Times New Roman" w:hAnsi="Times New Roman"/>
          <w:sz w:val="18"/>
          <w:szCs w:val="18"/>
          <w:color w:val="auto"/>
        </w:rPr>
        <w:t>In August 2024, WMI entered into a delayed draw Term Credit Agreement in a principal amount of up to $7.2 billion (the “Term Credit Agreement”). In October 2024, we drew $5.2 billion of borrowings under the Term Credit Agreement that were applied to funding our acquisition of Stericycle. In November 2024, we repaid all outstanding borrowings and contemporaneously terminated the Term Credit Agreement, resulting in a $7 million loss on early extinguishment of debt. See Note 6 to the Consolidated Financial Statements for further discussion.</w:t>
      </w:r>
    </w:p>
    <w:p>
      <w:pPr>
        <w:spacing w:after="0" w:line="171" w:lineRule="exact"/>
        <w:rPr>
          <w:sz w:val="20"/>
          <w:szCs w:val="20"/>
          <w:color w:val="auto"/>
        </w:rPr>
      </w:pPr>
    </w:p>
    <w:p>
      <w:pPr>
        <w:jc w:val="both"/>
        <w:ind w:left="60" w:right="59" w:firstLine="259"/>
        <w:spacing w:after="0" w:line="242" w:lineRule="auto"/>
        <w:rPr>
          <w:sz w:val="20"/>
          <w:szCs w:val="20"/>
          <w:color w:val="auto"/>
        </w:rPr>
      </w:pPr>
      <w:r>
        <w:rPr>
          <w:rFonts w:ascii="Times New Roman" w:cs="Times New Roman" w:eastAsia="Times New Roman" w:hAnsi="Times New Roman"/>
          <w:sz w:val="18"/>
          <w:szCs w:val="18"/>
          <w:color w:val="auto"/>
        </w:rPr>
        <w:t>In November 2024, we issued senior notes, the net proceeds of which were approximately $5.2 billion, consisting of (i) $1.0 billion of 4.500% senior notes due March 2028; (ii) $700 million of 4.650% senior notes due March 2030; (iii) $750 million of 4.800% senior notes due March 2032; (iv) $1.5 billion of 4.950% senior notes due March 2035; and (v) $1.25 billion of 5.350% senior notes due October 2054. We used the net proceeds to repay all outstanding borrowing under the Term Credit Agreement.</w:t>
      </w:r>
    </w:p>
    <w:p>
      <w:pPr>
        <w:spacing w:after="0" w:line="169" w:lineRule="exact"/>
        <w:rPr>
          <w:sz w:val="20"/>
          <w:szCs w:val="20"/>
          <w:color w:val="auto"/>
        </w:rPr>
      </w:pPr>
    </w:p>
    <w:p>
      <w:pPr>
        <w:jc w:val="both"/>
        <w:ind w:left="60" w:right="59" w:firstLine="259"/>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Stericycle Exchange Offer and Consent Solicitation — </w:t>
      </w:r>
      <w:r>
        <w:rPr>
          <w:rFonts w:ascii="Times New Roman" w:cs="Times New Roman" w:eastAsia="Times New Roman" w:hAnsi="Times New Roman"/>
          <w:sz w:val="18"/>
          <w:szCs w:val="18"/>
          <w:color w:val="auto"/>
        </w:rPr>
        <w:t>On November 8, 2024, we completed our private offer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holders to exchange $500 million of outstanding 3.875% senior notes issued by Stericycle (the “Stericycle Notes”) for new notes issued by us (the “WM Notes”) and cash. The WM Notes have the same interest rate, interest payment dates, and maturity date as the exchanged Stericycle Notes but differ in certain respects from the Stericycle Notes, including with respect to the redemption provisions. Approximately $485 million in aggregate principal amount of the Stericycle Notes, or 97%, were tendered and accepted, and new WM Notes were issued. The portion of Stericycle Notes not exchanged, approximately $15 million, remains an outstanding obligation of Stericycle, our wholly-owned subsidiary. The debt exchange is accounted for as a modification of debt, as the financial terms of the WM Notes do not differ from the Stericycle Notes, and there is no substantial difference between the present value of cash flows under each respective set of notes. In connection with the exchange offer, we solicited and obtained sufficient consents to amend the Stericycle Notes and related indenture to eliminate substantially all the restrictive covenants, restrictive provisions and events of default, other than payment-related, guarantee-related and bankruptcy-related events of default, and such amendments took effect with respect to the remaining Stericycle Notes on November 8, 2024.</w:t>
      </w:r>
    </w:p>
    <w:p>
      <w:pPr>
        <w:spacing w:after="0" w:line="184" w:lineRule="exact"/>
        <w:rPr>
          <w:sz w:val="20"/>
          <w:szCs w:val="20"/>
          <w:color w:val="auto"/>
        </w:rPr>
      </w:pPr>
    </w:p>
    <w:p>
      <w:pPr>
        <w:jc w:val="both"/>
        <w:ind w:left="60" w:right="79" w:firstLine="259"/>
        <w:spacing w:after="0" w:line="282" w:lineRule="auto"/>
        <w:rPr>
          <w:sz w:val="20"/>
          <w:szCs w:val="20"/>
          <w:color w:val="auto"/>
        </w:rPr>
      </w:pPr>
      <w:r>
        <w:rPr>
          <w:rFonts w:ascii="Times New Roman" w:cs="Times New Roman" w:eastAsia="Times New Roman" w:hAnsi="Times New Roman"/>
          <w:sz w:val="18"/>
          <w:szCs w:val="18"/>
          <w:color w:val="auto"/>
        </w:rPr>
        <w:t>We have credit lines in place to support our liquidity and financial assurance needs. The following table summarizes our outstanding letters of credit, categorized by type of facility as of December 31 (in millions):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48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 (a)</w:t>
            </w:r>
          </w:p>
        </w:tc>
        <w:tc>
          <w:tcPr>
            <w:tcW w:w="48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letter of credit lines (b)</w:t>
            </w:r>
          </w:p>
        </w:tc>
        <w:tc>
          <w:tcPr>
            <w:tcW w:w="4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and 2023, we had an unused and available credit capacity of $2.1 billion and $2.5 billion, respectively.</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these other letter of credit lines are uncommitted with terms extending through December 2028.</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Guarantor Financial Information</w:t>
      </w:r>
    </w:p>
    <w:p>
      <w:pPr>
        <w:spacing w:after="0" w:line="229" w:lineRule="exact"/>
        <w:rPr>
          <w:sz w:val="20"/>
          <w:szCs w:val="20"/>
          <w:color w:val="auto"/>
        </w:rPr>
      </w:pPr>
    </w:p>
    <w:p>
      <w:pPr>
        <w:jc w:val="both"/>
        <w:ind w:left="60" w:right="59" w:firstLine="243"/>
        <w:spacing w:after="0" w:line="255" w:lineRule="auto"/>
        <w:rPr>
          <w:sz w:val="20"/>
          <w:szCs w:val="20"/>
          <w:color w:val="auto"/>
        </w:rPr>
      </w:pPr>
      <w:r>
        <w:rPr>
          <w:rFonts w:ascii="Times New Roman" w:cs="Times New Roman" w:eastAsia="Times New Roman" w:hAnsi="Times New Roman"/>
          <w:sz w:val="18"/>
          <w:szCs w:val="18"/>
          <w:color w:val="auto"/>
        </w:rPr>
        <w:t>WM Holdings has fully and unconditionally guaranteed all of WMI’s senior indebtedness. WMI has fully and unconditionally guaranteed all of WM Holdings’ senior indebtedness. None of WMI’s 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Advances due to affiliates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15,328</w:t>
            </w:r>
          </w:p>
        </w:tc>
      </w:tr>
      <w:tr>
        <w:trPr>
          <w:trHeight w:val="216"/>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20,140</w:t>
            </w:r>
          </w:p>
        </w:tc>
      </w:tr>
      <w:tr>
        <w:trPr>
          <w:trHeight w:val="353"/>
        </w:trPr>
        <w:tc>
          <w:tcPr>
            <w:tcW w:w="7600" w:type="dxa"/>
            <w:vAlign w:val="bottom"/>
          </w:tcPr>
          <w:p>
            <w:pPr>
              <w:spacing w:after="0"/>
              <w:rPr>
                <w:sz w:val="24"/>
                <w:szCs w:val="24"/>
                <w:color w:val="auto"/>
              </w:rPr>
            </w:pPr>
          </w:p>
        </w:tc>
        <w:tc>
          <w:tcPr>
            <w:tcW w:w="1300" w:type="dxa"/>
            <w:vAlign w:val="bottom"/>
            <w:gridSpan w:val="3"/>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6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Information:</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bl>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cash flows for the year ended December 31 (in millions):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(10,601)</w:t>
            </w: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(3,091)</w:t>
            </w: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(3,063)</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5,155</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(1,524)</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 </w:t>
      </w:r>
      <w:r>
        <w:rPr>
          <w:rFonts w:ascii="Times New Roman" w:cs="Times New Roman" w:eastAsia="Times New Roman" w:hAnsi="Times New Roman"/>
          <w:sz w:val="18"/>
          <w:szCs w:val="18"/>
          <w:color w:val="auto"/>
        </w:rPr>
        <w:t>Our operating cash flows increased in 2024, as compared with 2023,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$671 million primarily driven by (i) higher earnings in our Collection and Disposal businesses; (ii) favorable changes in working capital, net of effects of acquisitions and divestitures and (iii) lower annual incentive compensation payments. This increase was partially offset by higher cash interest and income tax payments.</w:t>
      </w:r>
    </w:p>
    <w:p>
      <w:pPr>
        <w:spacing w:after="0" w:line="7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operating cash flows increased in 2023, as compared with 2022, by $183 million primarily driven by higher earnings attributable to our Collection and Disposal businesses and lower income tax payments as a result of a deposit of approximately $103 million that was made to the IRS in 2022 related to a disputed tax matter discussed within Note 8 to the Consolidated Financial Statements. These increases were partially offset by (i) unfavorable changes in working capital, net of effects of acquisitions and divestitures; (ii) higher interest payments and (iii) higher incentive compensation payments.</w:t>
      </w:r>
    </w:p>
    <w:p>
      <w:pPr>
        <w:spacing w:after="0" w:line="77"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The most significant items affecting the comparison of our investing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for the periods presented are summarized below:</w:t>
      </w:r>
    </w:p>
    <w:p>
      <w:pPr>
        <w:spacing w:after="0" w:line="50" w:lineRule="exact"/>
        <w:rPr>
          <w:sz w:val="20"/>
          <w:szCs w:val="20"/>
          <w:color w:val="auto"/>
        </w:rPr>
      </w:pPr>
    </w:p>
    <w:p>
      <w:pPr>
        <w:jc w:val="both"/>
        <w:ind w:left="720" w:right="79" w:hanging="319"/>
        <w:spacing w:after="0" w:line="258"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Acquisitions — </w:t>
      </w:r>
      <w:r>
        <w:rPr>
          <w:rFonts w:ascii="Times New Roman" w:cs="Times New Roman" w:eastAsia="Times New Roman" w:hAnsi="Times New Roman"/>
          <w:sz w:val="18"/>
          <w:szCs w:val="18"/>
          <w:color w:val="auto"/>
        </w:rPr>
        <w:t>Our spending on acquisitions was $7,503 million, $173 million and $377 million in 2024,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2022, respectively, of which $7,488 million, $170 million and $377 million, respectively, are considered cash used in investing activities. The remaining spend is cash used in financing activity related to the timing of contingent consideration paid. Excluding our acquisition of Stericycle in 2024, substantially all of the remaining acquisitions are related to our solid waste and recycling businesses.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Expenditures — </w:t>
      </w:r>
      <w:r>
        <w:rPr>
          <w:rFonts w:ascii="Times New Roman" w:cs="Times New Roman" w:eastAsia="Times New Roman" w:hAnsi="Times New Roman"/>
          <w:sz w:val="18"/>
          <w:szCs w:val="18"/>
          <w:color w:val="auto"/>
        </w:rPr>
        <w:t>We used $3,231 million, $2,895 million and $2,587 million for capital expenditures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2024, 2023 and 2022, respectively. The increase in capital spending in 2024 is primarily driven by (i) our planned and ongoing investments in our Recycling Processing and Sales and WM Renewable Energy segments; (ii) an increase in truck spending in the current year due to supply chain constraints on truck deliveries in the prior year and (iii) capital expenditures within our WM Healthcare Solutions segment to support the business. The increase in 2023 is primarily driven by our planned and ongoing investments in our Recycling Processing and Sales and WM Renewable Energy segments, as well as </w:t>
      </w:r>
      <w:r>
        <w:rPr>
          <w:rFonts w:ascii="Times New Roman" w:cs="Times New Roman" w:eastAsia="Times New Roman" w:hAnsi="Times New Roman"/>
          <w:sz w:val="18"/>
          <w:szCs w:val="18"/>
          <w:color w:val="212529"/>
        </w:rPr>
        <w:t>inflationary increases in many fixed asset categories required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support ongoing operations and investments in the Company’s landfills to reduce greenhouse gas emissions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700" w:right="59"/>
        <w:spacing w:after="0" w:line="258" w:lineRule="auto"/>
        <w:rPr>
          <w:sz w:val="20"/>
          <w:szCs w:val="20"/>
          <w:color w:val="auto"/>
        </w:rPr>
      </w:pPr>
      <w:r>
        <w:rPr>
          <w:rFonts w:ascii="Times New Roman" w:cs="Times New Roman" w:eastAsia="Times New Roman" w:hAnsi="Times New Roman"/>
          <w:sz w:val="18"/>
          <w:szCs w:val="18"/>
          <w:color w:val="auto"/>
        </w:rPr>
        <w:t>The Company continues to maintain a disciplined focus on capital management to prioritize investments for expansion, the replacement of aging assets and assets that support our strategy of differentiation and continuous improvement through efficiency and innovation. The Company expects to invest $3.0 billion in growth investments across the recycling and renewable energy platforms from 2022 to 2026, which includes the $1.7 billion already invested in 2023 and 2024.</w:t>
      </w:r>
    </w:p>
    <w:p>
      <w:pPr>
        <w:spacing w:after="0" w:line="73" w:lineRule="exact"/>
        <w:rPr>
          <w:sz w:val="20"/>
          <w:szCs w:val="20"/>
          <w:color w:val="auto"/>
        </w:rPr>
      </w:pPr>
    </w:p>
    <w:p>
      <w:pPr>
        <w:jc w:val="both"/>
        <w:ind w:left="720" w:right="79" w:hanging="319"/>
        <w:spacing w:after="0" w:line="267"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Divestitures — </w:t>
      </w:r>
      <w:r>
        <w:rPr>
          <w:rFonts w:ascii="Times New Roman" w:cs="Times New Roman" w:eastAsia="Times New Roman" w:hAnsi="Times New Roman"/>
          <w:sz w:val="18"/>
          <w:szCs w:val="18"/>
          <w:color w:val="auto"/>
        </w:rPr>
        <w:t>Proceeds from divestitures of businesses and other assets, net of cash divested, were $158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$78 million and $27 million in 2024, 2023 and 2022, primarily as the result of the sale of certain non-strategic assets.</w:t>
      </w:r>
    </w:p>
    <w:p>
      <w:pPr>
        <w:spacing w:after="0" w:line="65"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Net — </w:t>
      </w:r>
      <w:r>
        <w:rPr>
          <w:rFonts w:ascii="Times New Roman" w:cs="Times New Roman" w:eastAsia="Times New Roman" w:hAnsi="Times New Roman"/>
          <w:sz w:val="18"/>
          <w:szCs w:val="18"/>
          <w:color w:val="auto"/>
        </w:rPr>
        <w:t>Our spending within other, net was $40 million, $104 million and $126 million in 2024, 2023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respectively. During 2024, 2023 and 2022, we used $4 million, $61 million and $23 million, respectively, of cash from restricted cash and cash equivalents to invest in available-for-sale securities. During 2024, 2023 and 2022, we used $33 million, $20 million and $28 million, respectively, to make initial cash payments associated with low-income housing investments. In 2022, we also used $67 million to fund secured convertible promissory notes associated with an acquisition.</w:t>
      </w:r>
    </w:p>
    <w:p>
      <w:pPr>
        <w:spacing w:after="0" w:line="74" w:lineRule="exact"/>
        <w:rPr>
          <w:sz w:val="20"/>
          <w:szCs w:val="20"/>
          <w:color w:val="auto"/>
        </w:rPr>
      </w:pPr>
    </w:p>
    <w:p>
      <w:pPr>
        <w:ind w:left="380" w:right="3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Financing Activities — </w:t>
      </w:r>
      <w:r>
        <w:rPr>
          <w:rFonts w:ascii="Times New Roman" w:cs="Times New Roman" w:eastAsia="Times New Roman" w:hAnsi="Times New Roman"/>
          <w:sz w:val="18"/>
          <w:szCs w:val="18"/>
          <w:color w:val="auto"/>
        </w:rPr>
        <w:t>The most significant items affecting the comparison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cash flows for the periods presented are summarized below:</w:t>
      </w:r>
    </w:p>
    <w:p>
      <w:pPr>
        <w:spacing w:after="0" w:line="50" w:lineRule="exact"/>
        <w:rPr>
          <w:sz w:val="20"/>
          <w:szCs w:val="20"/>
          <w:color w:val="auto"/>
        </w:rPr>
      </w:pPr>
    </w:p>
    <w:p>
      <w:pPr>
        <w:ind w:left="660" w:right="79" w:hanging="326"/>
        <w:spacing w:after="0" w:line="284"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Borrowings (Repayments) — </w:t>
      </w:r>
      <w:r>
        <w:rPr>
          <w:rFonts w:ascii="Times New Roman" w:cs="Times New Roman" w:eastAsia="Times New Roman" w:hAnsi="Times New Roman"/>
          <w:sz w:val="18"/>
          <w:szCs w:val="18"/>
          <w:color w:val="auto"/>
        </w:rPr>
        <w:t>The following summarizes our cash borrowings and repayments of debt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(in millions):</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50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 program</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w:t>
            </w:r>
          </w:p>
        </w:tc>
      </w:tr>
      <w:tr>
        <w:trPr>
          <w:trHeight w:val="216"/>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(a)</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Tax-exempt bonds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50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8,688</w:t>
            </w: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Repayments</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432"/>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 program</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(12,319)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(18,709)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(6,664)</w:t>
            </w:r>
          </w:p>
        </w:tc>
      </w:tr>
      <w:tr>
        <w:trPr>
          <w:trHeight w:val="216"/>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(a)</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(5,200)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Tax-exempt bonds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5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425"/>
        </w:trPr>
        <w:tc>
          <w:tcPr>
            <w:tcW w:w="50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(17,870)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(7,328)</w:t>
            </w: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cash borrowings (repayments)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r>
      <w:tr>
        <w:trPr>
          <w:trHeight w:val="20"/>
        </w:trPr>
        <w:tc>
          <w:tcPr>
            <w:tcW w:w="5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1040" w:right="79" w:hanging="315"/>
        <w:spacing w:after="0" w:line="266"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we drew $5.2 billion of borrowings under the Term Credit Agreement that were applied to funding our acquisition of Stericycle. In November 2024, we repaid all outstanding borrowings and contemporaneously terminated the Term Credit Agreement.</w:t>
      </w:r>
    </w:p>
    <w:p>
      <w:pPr>
        <w:spacing w:after="0" w:line="68"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Refer to Note 6 to the Consolidated Financial Statements for additional information related to our debt borrowings and repayments.</w:t>
      </w:r>
    </w:p>
    <w:p>
      <w:pPr>
        <w:spacing w:after="0" w:line="52" w:lineRule="exact"/>
        <w:rPr>
          <w:sz w:val="20"/>
          <w:szCs w:val="20"/>
          <w:color w:val="auto"/>
        </w:rPr>
      </w:pPr>
    </w:p>
    <w:p>
      <w:pPr>
        <w:jc w:val="both"/>
        <w:ind w:left="720" w:right="79" w:hanging="319"/>
        <w:spacing w:after="0" w:line="256"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Stock Repurchase Program — </w:t>
      </w:r>
      <w:r>
        <w:rPr>
          <w:rFonts w:ascii="Times New Roman" w:cs="Times New Roman" w:eastAsia="Times New Roman" w:hAnsi="Times New Roman"/>
          <w:sz w:val="18"/>
          <w:szCs w:val="18"/>
          <w:color w:val="auto"/>
        </w:rPr>
        <w:t>For the periods presented, all share repurchases have been made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financial plans approved by our Board of Directors. We allocated $262 million, $1,302 million and $1,500 million of available cash to common stock repurchases during 2024, 2023, and 2022, respectively. In 2024, we announced our temporary suspension of share repurchase activity as a result of the acquisition of Stericycle. We expect to resume share repurchase once the Company’s leverage returns to targeted levels, which is currently projected to be about 18 months after the November 2024 acquisition of Stericycle. See Note 13 to the Consolidated Financial Statements for additional information about our share repurchase activity.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720" w:right="79" w:hanging="319"/>
        <w:spacing w:after="0" w:line="267"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Dividends — </w:t>
      </w:r>
      <w:r>
        <w:rPr>
          <w:rFonts w:ascii="Times New Roman" w:cs="Times New Roman" w:eastAsia="Times New Roman" w:hAnsi="Times New Roman"/>
          <w:sz w:val="18"/>
          <w:szCs w:val="18"/>
          <w:color w:val="auto"/>
        </w:rPr>
        <w:t>For the periods presented, all dividends have been declared by our Board of Directors.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declared and paid were $1,210 million in 2024, or $3.00 per common share, $1,136 million in 2023, or $2.80 per common share, and $1,077 million in 2022, or $2.60 per common share.</w:t>
      </w:r>
    </w:p>
    <w:p>
      <w:pPr>
        <w:spacing w:after="0" w:line="67" w:lineRule="exact"/>
        <w:rPr>
          <w:sz w:val="20"/>
          <w:szCs w:val="20"/>
          <w:color w:val="auto"/>
        </w:rPr>
      </w:pPr>
    </w:p>
    <w:p>
      <w:pPr>
        <w:jc w:val="both"/>
        <w:ind w:left="700" w:right="59"/>
        <w:spacing w:after="0" w:line="258" w:lineRule="auto"/>
        <w:rPr>
          <w:sz w:val="20"/>
          <w:szCs w:val="20"/>
          <w:color w:val="auto"/>
        </w:rPr>
      </w:pPr>
      <w:r>
        <w:rPr>
          <w:rFonts w:ascii="Times New Roman" w:cs="Times New Roman" w:eastAsia="Times New Roman" w:hAnsi="Times New Roman"/>
          <w:sz w:val="18"/>
          <w:szCs w:val="18"/>
          <w:color w:val="auto"/>
        </w:rPr>
        <w:t>In December 2024, we announced that our Board of Directors expects to increase the quarterly dividend from $0.75 to $0.825 per share for dividends declared in 2025. However, all future dividend declarations are at the discretion of the Board of Directors and depend on various factors, including our net earnings, financial condition, cash required for future business plans, growth and acquisitions and other factors the Board of Directors may deem relevant.</w:t>
      </w:r>
    </w:p>
    <w:p>
      <w:pPr>
        <w:spacing w:after="0" w:line="73" w:lineRule="exact"/>
        <w:rPr>
          <w:sz w:val="20"/>
          <w:szCs w:val="20"/>
          <w:color w:val="auto"/>
        </w:rPr>
      </w:pPr>
    </w:p>
    <w:p>
      <w:pPr>
        <w:jc w:val="both"/>
        <w:ind w:left="720" w:right="79" w:hanging="319"/>
        <w:spacing w:after="0" w:line="267"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of Common Stock Options — </w:t>
      </w:r>
      <w:r>
        <w:rPr>
          <w:rFonts w:ascii="Times New Roman" w:cs="Times New Roman" w:eastAsia="Times New Roman" w:hAnsi="Times New Roman"/>
          <w:sz w:val="18"/>
          <w:szCs w:val="18"/>
          <w:color w:val="auto"/>
        </w:rPr>
        <w:t>The exercise of common stock options generated financing cash inflows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$53 million, $44 million and $44 million from the exercise of 693,000, 597,000 and 675,000 of employee stock options during 2024, 2023 and 2022, respectively.</w:t>
      </w:r>
    </w:p>
    <w:p>
      <w:pPr>
        <w:spacing w:after="0" w:line="173" w:lineRule="exact"/>
        <w:rPr>
          <w:rFonts w:ascii="Times New Roman" w:cs="Times New Roman" w:eastAsia="Times New Roman" w:hAnsi="Times New Roman"/>
          <w:sz w:val="18"/>
          <w:szCs w:val="18"/>
          <w:color w:val="auto"/>
        </w:rPr>
      </w:pPr>
    </w:p>
    <w:p>
      <w:pPr>
        <w:jc w:val="both"/>
        <w:ind w:left="720" w:right="79" w:hanging="319"/>
        <w:spacing w:after="0" w:line="267"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Net — </w:t>
      </w:r>
      <w:r>
        <w:rPr>
          <w:rFonts w:ascii="Times New Roman" w:cs="Times New Roman" w:eastAsia="Times New Roman" w:hAnsi="Times New Roman"/>
          <w:sz w:val="18"/>
          <w:szCs w:val="18"/>
          <w:color w:val="auto"/>
        </w:rPr>
        <w:t>In 2022, we acquired a controlling interest in a business engaged in accelerating film and plastic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wrap recycling capabilities, and in the fourth quarter of 2024, we acquired the remaining minority interests in this business for $41 million.</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8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calculation of free cash flow and reconciliation to net cash provided by operating activities is shown in the table below for the year ended December 31 (in millions), and may not be calculated the same as similarly-titled measures presented by other companies: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36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r>
      <w:tr>
        <w:trPr>
          <w:trHeight w:val="216"/>
        </w:trPr>
        <w:tc>
          <w:tcPr>
            <w:tcW w:w="20" w:type="dxa"/>
            <w:vAlign w:val="bottom"/>
          </w:tcPr>
          <w:p>
            <w:pPr>
              <w:spacing w:after="0"/>
              <w:rPr>
                <w:sz w:val="18"/>
                <w:szCs w:val="18"/>
                <w:color w:val="auto"/>
              </w:rPr>
            </w:pPr>
          </w:p>
        </w:tc>
        <w:tc>
          <w:tcPr>
            <w:tcW w:w="5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expenditures - sustainability growth investments (a)</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10"/>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20" w:type="dxa"/>
            <w:vAlign w:val="bottom"/>
          </w:tcPr>
          <w:p>
            <w:pPr>
              <w:spacing w:after="0"/>
              <w:rPr>
                <w:sz w:val="18"/>
                <w:szCs w:val="18"/>
                <w:color w:val="auto"/>
              </w:rPr>
            </w:pPr>
          </w:p>
        </w:tc>
        <w:tc>
          <w:tcPr>
            <w:tcW w:w="5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63" w:lineRule="exact"/>
        <w:rPr>
          <w:sz w:val="20"/>
          <w:szCs w:val="20"/>
          <w:color w:val="auto"/>
        </w:rPr>
      </w:pPr>
    </w:p>
    <w:p>
      <w:pPr>
        <w:jc w:val="both"/>
        <w:ind w:left="380" w:right="79" w:hanging="330"/>
        <w:spacing w:after="0" w:line="266"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growth investments are intended to further our sustainability leadership position by increasing recycling volumes and growing renewable natural gas generation and we expect they will deliver circular solutions for our customers and drive environmental value to the communities we serve.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acquired in business combinations. Each of these items is discussed in additional detail below and in Note 2 to the Consolidated Financial Statements. Actual results could differ materially from the estimates and assumptions that we use in the preparation of our financial statements.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Landfills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Accounting for landfills requires that significant estimates and assumptions be made regarding (i) the cost to construct and develop each landfill asset; (ii) the estimated fair value of final capping, closure and post-closure asset retirement obligations, which must consider both the expected cost and timing of these activities and (iii) the determination of each landfill’s remaining permitted and expansion airspace.</w:t>
      </w:r>
    </w:p>
    <w:p>
      <w:pPr>
        <w:spacing w:after="0" w:line="178" w:lineRule="exact"/>
        <w:rPr>
          <w:sz w:val="20"/>
          <w:szCs w:val="20"/>
          <w:color w:val="auto"/>
        </w:rPr>
      </w:pPr>
    </w:p>
    <w:p>
      <w:pPr>
        <w:jc w:val="both"/>
        <w:ind w:left="60" w:right="59" w:firstLine="324"/>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Landfill Costs — </w:t>
      </w:r>
      <w:r>
        <w:rPr>
          <w:rFonts w:ascii="Times New Roman" w:cs="Times New Roman" w:eastAsia="Times New Roman" w:hAnsi="Times New Roman"/>
          <w:sz w:val="17"/>
          <w:szCs w:val="17"/>
          <w:color w:val="auto"/>
        </w:rPr>
        <w:t>We estimate the total cost to develop each of our landfill sites to its remaining permitted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expansion airspace. This estimate includes such costs as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the landfill footprint and landfill buffer property. The projection of these landfill costs is dependent, in part, on future events. The remaining depletable basis of each landfill includes costs to develop a site to its remaining permitted and expansion airspace and includes amounts previously expended and capitalized, net of accumulated airspace depletion, and projections of future purchase and development costs.</w:t>
      </w:r>
    </w:p>
    <w:p>
      <w:pPr>
        <w:spacing w:after="0" w:line="17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Final Capping Costs — </w:t>
      </w:r>
      <w:r>
        <w:rPr>
          <w:rFonts w:ascii="Times New Roman" w:cs="Times New Roman" w:eastAsia="Times New Roman" w:hAnsi="Times New Roman"/>
          <w:sz w:val="18"/>
          <w:szCs w:val="18"/>
          <w:color w:val="auto"/>
        </w:rPr>
        <w:t>We estimate the cost for each final capping event based on the area to be capped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capping materials and activities required. The estimates also consider when these costs are anticipated to be paid and factor in inflation and discount rates. Our engineering personnel allocate landfill final capping costs to specific final capping events and the capping costs are depleted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landfill, the adjustment to the asset must be depleted immediately through expense. When the change in estimate relates to a final capping event at a landfill with remaining airspace, the adjustment to the asset is recognized in income prospectively as a component of landfill airspace depletion.</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Closure and Post-Closure Costs — </w:t>
      </w:r>
      <w:r>
        <w:rPr>
          <w:rFonts w:ascii="Times New Roman" w:cs="Times New Roman" w:eastAsia="Times New Roman" w:hAnsi="Times New Roman"/>
          <w:sz w:val="18"/>
          <w:szCs w:val="18"/>
          <w:color w:val="auto"/>
        </w:rPr>
        <w:t>We base our estimates for closure and post-closure costs on our interpretations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 and regulatory requirements for closure and post-closure monitoring and maintenance. The estimates for landfill closure and post-closure costs also consider when the costs are anticipated to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landfill, the adjustment to the asset must be depleted immediately through expense. When the change in estimate relates to a landfill with remaining airspace, the adjustment to the asset is recognized in income prospectively as a component of landfill airspace depletion.</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Remaining Permitted Airspace — </w:t>
      </w:r>
      <w:r>
        <w:rPr>
          <w:rFonts w:ascii="Times New Roman" w:cs="Times New Roman" w:eastAsia="Times New Roman" w:hAnsi="Times New Roman"/>
          <w:sz w:val="18"/>
          <w:szCs w:val="18"/>
          <w:color w:val="auto"/>
        </w:rPr>
        <w:t>Our engineers, in consultation with third-party engineering consultants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surveyors, 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Expansion Airspace — </w:t>
      </w:r>
      <w:r>
        <w:rPr>
          <w:rFonts w:ascii="Times New Roman" w:cs="Times New Roman" w:eastAsia="Times New Roman" w:hAnsi="Times New Roman"/>
          <w:sz w:val="18"/>
          <w:szCs w:val="18"/>
          <w:color w:val="auto"/>
        </w:rPr>
        <w:t>We also include currently unpermitted expansion airspace in our estimate of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and expansion airspace in certain circumstances. First, for unpermitted airspace to be initially included in our estimate of remaining permitted and expansion airspace, we must believe that obtaining the expansion permit is likely. Second, we must generally expect the initial expansion permit application to be submitted within one year and the final expansion permit to be received within five years, in addition to meeting the following criteria:</w:t>
      </w:r>
    </w:p>
    <w:p>
      <w:pPr>
        <w:spacing w:after="0" w:line="185" w:lineRule="exact"/>
        <w:rPr>
          <w:sz w:val="20"/>
          <w:szCs w:val="20"/>
          <w:color w:val="auto"/>
        </w:rPr>
      </w:pPr>
    </w:p>
    <w:p>
      <w:pPr>
        <w:ind w:left="720" w:right="7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are actively working on the expansion of an existing landfill, including efforts to obtain land use and local, state or provincial approvals;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legal right to use or obtain land to be included in the expansion plan;</w:t>
      </w:r>
    </w:p>
    <w:p>
      <w:pPr>
        <w:spacing w:after="0" w:line="1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significant known technical, legal, community, business, or political restrictions or similar issues that could negatively affect the success of such expansion; and</w:t>
      </w:r>
    </w:p>
    <w:p>
      <w:pPr>
        <w:spacing w:after="0" w:line="5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analysis has been completed based on conceptual design, and the results demonstrate that the expansion meets Company criteria for investment.</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on a quarterly basis.</w:t>
      </w:r>
    </w:p>
    <w:p>
      <w:pPr>
        <w:spacing w:after="0" w:line="18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depletable basis of the landfill.</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consider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9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depletion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earnings may be experienced due to higher depletion rates or higher expenses; or higher earnings may result if the opposite occurs. Most significantly, if it is determined that expansion capacity should no longer be considered in calculating the recoverability of a landfill asset, we may be required to recognize an asset impairment or incur significantly higher depletion expense. If at any time management makes the decision to abandon the expansion effort, the capitalized costs related to the expansion effort are expensed immediately.</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Remediation Liabilities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 up.</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Where it is probable that a liability has been incurred, we estimate costs required to remediate sites based on site-specific facts and circumstances. We routinely review and evaluate sites that require remediation and determine our estimated cost for the likely remedy based on a number of estimates and assumptions.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187" w:lineRule="exact"/>
        <w:rPr>
          <w:sz w:val="20"/>
          <w:szCs w:val="20"/>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judgment and experience in remediating our own and unrelated parties’ sites;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available from regulatory agencies as to costs of remediation;</w:t>
      </w:r>
    </w:p>
    <w:p>
      <w:pPr>
        <w:spacing w:after="0" w:line="1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financial resources and relative degree of responsibility of other PRPs who may be liable for remediation of a specific site; and</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 allocation of costs among PRPs, unless the actual allocation has been determined.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Refer to Note 10 to the Consolidated Financial Statements for additional information on our environmental liabilities.</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Nonfinancial Assets and Liabilities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Significant estimates are made in determining the fair value of long-lived tangible and intangible assets (i.e., property and equipment, intangible assets and goodwill) during the impairment evaluation process. In addition, the majority of assets acquired and liabilities assumed in a business combination are required to be recognized at fair value under the relevant accounting guidance.</w:t>
      </w:r>
    </w:p>
    <w:p>
      <w:pPr>
        <w:spacing w:after="0" w:line="180"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7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Including Landfills and Definite-Lived Intangible Assets — </w:t>
      </w:r>
      <w:r>
        <w:rPr>
          <w:rFonts w:ascii="Times New Roman" w:cs="Times New Roman" w:eastAsia="Times New Roman" w:hAnsi="Times New Roman"/>
          <w:sz w:val="18"/>
          <w:szCs w:val="18"/>
          <w:color w:val="auto"/>
        </w:rPr>
        <w:t>We monitor the carrying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Indefinite-Lived Intangible Assets, Including Goodwill — </w:t>
      </w:r>
      <w:r>
        <w:rPr>
          <w:rFonts w:ascii="Times New Roman" w:cs="Times New Roman" w:eastAsia="Times New Roman" w:hAnsi="Times New Roman"/>
          <w:sz w:val="18"/>
          <w:szCs w:val="18"/>
          <w:color w:val="auto"/>
        </w:rPr>
        <w:t>At least annually using a measurement date of October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more frequently if warranted, we assess the indefinite-lived intangible assets including the goodwill of our reporting units for impairment using Level 3 inputs.</w:t>
      </w:r>
    </w:p>
    <w:p>
      <w:pPr>
        <w:spacing w:after="0" w:line="17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first perform a qualitative assessment to determine if it was more likely than not that the fair value of a reporting unit is less than its carrying value. If the assessment indicates a possible impairment, we complete a quantitative review, comparing the estimated fair value of a reporting unit to its carrying amount, including goodwill. An impairment charge is recognized if the asset’s estimated fair value was less than its carrying amount. Fair value is typically estimated using an income approach using Level 3 inputs.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195"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 In accordance with the purchase method of accounting, the purchase price paid for an acquisition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allocated to the assets and liabilities acquired based upon their estimated fair values as of the acquisition date, with the excess of the purchase price over the net assets acquired recorded as goodwill. When we are in the process of valuing all of the assets and liabilities acquired in an acquisition, there can be subsequent adjustments to our estimates of fair value and resulting preliminary purchase price allocation. Generally, the valuation of our acquired asset and liabilities rely on complex estimates and assumptions.</w:t>
      </w:r>
    </w:p>
    <w:p>
      <w:pPr>
        <w:spacing w:after="0" w:line="18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Acquisition-date fair value estimates are revised as necessary if, and when, additional information regarding these contingencies becomes available to further define and quantify assets acquired and liabilities assumed. Subsequent to finalization of purchase accounting, these revisions are accounted for as adjustments to income from operations. All acquisition-related transaction costs are expensed as incurred. See Note 17 to the Consolidated Financial Statements for additional information related to our acquisitions.</w:t>
      </w:r>
    </w:p>
    <w:p>
      <w:pPr>
        <w:spacing w:after="0" w:line="181"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color w:val="auto"/>
        </w:rPr>
        <w:t xml:space="preserve">See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(Gain) 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Divestitures, Asset Impairments and Unusual Items, Net</w:t>
      </w:r>
      <w:r>
        <w:rPr>
          <w:rFonts w:ascii="Times New Roman" w:cs="Times New Roman" w:eastAsia="Times New Roman" w:hAnsi="Times New Roman"/>
          <w:sz w:val="18"/>
          <w:szCs w:val="18"/>
          <w:color w:val="auto"/>
        </w:rPr>
        <w:t>. See Note 11 to the Consolidated Financial Statements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 related to Asset Impairments and Unusual Items.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Variability in economic conditions, including inflation, interest rates, employment trends, and supply chain reliability, can create risk and uncertainty in financial outlook. We take proactive steps to recover and mitigate inflationary cost pressures through our overall pricing efforts and by managing our costs through efficiency, labor productivity, and investments in technology to automate certain aspects of our business. These efforts may not be successful for various reasons including the pace of inflation, operating cost inefficiencies, market responses, and contractual limitations, such as the timing lag in our ability to recover increased costs under certain contracts that are tied to a price escalation index with a lookback provision.</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Refer to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for further discussion.</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risks, including changes in interest rates, certain commodity prices and currency rates. From time to time, we use derivatives to manage some portion of these risks. As of December 31, 2024, our outstanding derivatives were immaterial.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Interest Rate Exposure — </w:t>
      </w:r>
      <w:r>
        <w:rPr>
          <w:rFonts w:ascii="Times New Roman" w:cs="Times New Roman" w:eastAsia="Times New Roman" w:hAnsi="Times New Roman"/>
          <w:sz w:val="18"/>
          <w:szCs w:val="18"/>
          <w:color w:val="auto"/>
        </w:rPr>
        <w:t>Our exposure to market risk for changes in interest rates relates primarily to our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As of December 31, 2024, we had $24.1 billion of long-term debt, excluding the impacts of accounting for debt issuance costs, discounts and fair value adjustments attributable to terminated interest rate derivatives. We have $2.7 billion of debt that is exposed to changes in market interest rates within the next 12 months comprised primarily of (i) $1.3 billion of short-term borrowings under our commercial paper program and (ii) $1.4 billion of tax-exempt bonds with term interest rate periods that expire within the next 12 months. We currently estimate that a 100-basis point increase in the interest rates of our outstanding variable-rate debt obligations would increase our 2024 interest expense by $19 million.</w:t>
      </w:r>
    </w:p>
    <w:p>
      <w:pPr>
        <w:spacing w:after="0" w:line="18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remaining outstanding debt obligations have fixed interest rates through either the scheduled maturity of the debt or, for certain of our fixed-rate tax-exempt bonds, through the end of a term interest rate period that exceeds 12 months. The fair value of our fixed-rate debt obligations can increase or decrease significantly if market interest rates change.</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performed a sensitivity analysis to determine how market rate changes might affect the fair value of our market risk-sensitive debt instruments. This analysis is inherently limited because it reflects a singular, hypothetical set of assumptions. Actual market movements may vary significantly from our assumptions. An instantaneous, 100-basis point increase in interest rates across all maturities attributable to these instruments would have decreased the fair value of our debt by approximately $1.3 billion as of December 31, 2024.</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are also exposed to interest rate market risk from our cash and cash equivalent balances, as well as assets held in restricted trust fund accounts. These assets are generally invested in high-quality, liquid instruments including money market funds that invest in U.S. government obligations with original maturities of three months or less. We believe that our exposure to changes in fair value of these assets due to interest rate fluctuations is insignificant as the fair value generally approximates our cost basis. We also invest a portion of our restricted trust fund account balances in available-for-sale securities, including U.S. Treasury securities, U.S. agency securities, municipal securities, mortgage- and asset-backed securities, which generally mature over the next ten years, as well as equity securities.</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Commodity Price Exposure — </w:t>
      </w:r>
      <w:r>
        <w:rPr>
          <w:rFonts w:ascii="Times New Roman" w:cs="Times New Roman" w:eastAsia="Times New Roman" w:hAnsi="Times New Roman"/>
          <w:sz w:val="18"/>
          <w:szCs w:val="18"/>
          <w:color w:val="auto"/>
        </w:rPr>
        <w:t>In the normal course of our business, we are subject to operating agreements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expose us to market risks arising from changes in the prices for commodities such as diesel fuel, electricity (and related renewable energy credits) and recycled materials, including old corrugated cardboard and plastics. We work to manage these risks through operational strategies that focus on capturing our costs in the prices we charge our customers for the services provided. Accordingly, as the market prices for these commodities increase or decrease, our revenues, operating costs and margins may also increase or decrease. Recycling revenues attributable to yield increased $245 million and decreased $308 million in 2024 and 2023, respectively, as compared with the prior year periods. While recycling commodity prices have recovered in 2024 from the low levels experienced in 2023, commodity values are still below prices seen at the beginning of 2022. Average market prices for single-stream recycled commodities were up 50% and down 40% in 2024 and 2023, respectively, as compared to the prior year periods. Variability in commodity prices can also impact the margins of our business as certain components of our revenue are structured as a pass through of costs, including recycling brokerage and fuel surcharges.</w:t>
      </w:r>
    </w:p>
    <w:p>
      <w:pPr>
        <w:spacing w:after="0" w:line="192"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recent years, we have discussed our sustainability growth strategy that includes significant planned and ongoing investments in our WM Renewable Energy segment. We have invested, and continue to invest, in facilities to capture methane produced from the Company’s landfills and process it into RNG and electricity. RNG produced from our landfills constitutes a significant source of fuel allocated to our natural gas collection vehicles. The primary drivers of renewable fuel development at our landfills are tax policies, such as the federal tax credits for RNG production and renewable electricity generation under the IRA, and federal and state incentive programs, such as the federal Renewable Fuel Standard (“RFS”) program, California Low Carbon Fuel Standard and similar state programs that promote the production and use of renewable transportation fuels. At the federal level, oil refiners and importers are required through the RFS program to blend specified volumes of various categories of renewable transportation fuels with gasoline or buy credits, referred to as Renewable Identification Numbers (“RINs”), from renewable fuel producers. Many of our facilities are EPA-registered producers of transportation fuel making compressed and liquefied RNG from landfill biogas, which qualifies as a cellulosic biofuel under the RFS program. The Company has invested, and continues to invest, in facilities that capture and process landfill gas into RNG so that we can participate in the RFS program, and the Company has grown and stated its intention to continue to grow its asset base to increase its RNG production.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7"/>
          <w:szCs w:val="17"/>
          <w:color w:val="auto"/>
        </w:rPr>
        <w:t>RINs prices generally respond to regulations enacted by the EPA, as well as fluctuations in supply and demand. The value of the RINs is set through a market established by the RFS program, which market has historically been very volatile. Prior to 2022, the EPA had promulgated rules on an annual basis establishing refiners’ obligations to purchase RNG and other cellulosic biofuels under the RFS program, which introduced a level of uncertainty into the renewable fuels and RINs market. However, in 2023, the EPA issued a highly anticipated rule establishing biofuel blending volumes under the RFS program for compliance years 2023 through 2025. The rule reflected the outsized role of biogas under the program, delivered on many reforms that benefit the solid waste sector, and recognized the continued growth of the market for RNG in vehicle applications. However, we cannot be certain that these changes, or the outcome of pending litigation challenging various aspects of the rule, will ultimately reduce volatility in the RINs market or that future rulemakings will be similarly favorable to our business. The new U.S. presidential administration could seek to reduce existing renewable fuel targets in a new rulemaking or otherwise set reduced targets for renewable fuels under the RFS program in future rulemakings. Moreover, consistent with its prior approach, the new administration may also increase the frequency with which it grants small refinery exemptions from RFS program requirements. While we cannot predict what actions the new administration may take with respect to the RFS program, any changes to existing or future renewable fuel targets or more frequent approval of requests for small refinery exemptions could have a significant negative impact on demand for renewable fuels and the value of RINs. In an effort to mitigate against such risk and stabilize our RNG portfolio, we are pursuing long-term sales transactions in the voluntary market. We continue to advocate for policies that could reduce the potential for volatility in the RINs market and ensure long-term stability for renewable transportation fuels, as changes in the RINs market or the structure of the RFS program can and has impacted the financial performance of our facilities. Such changes could impact or alter our projected future investments, and such investments may not yield the results anticipated. Revenue in our WM Renewable Energy segment attributable to yield increased $26 million and decreased $73 million in 2024 and 2023, respectively, as compared to the prior year periods, primarily driven by the fluctuations in energy and RIN market prices.</w:t>
      </w:r>
    </w:p>
    <w:p>
      <w:pPr>
        <w:spacing w:after="0" w:line="200" w:lineRule="exact"/>
        <w:rPr>
          <w:sz w:val="20"/>
          <w:szCs w:val="20"/>
          <w:color w:val="auto"/>
        </w:rPr>
      </w:pPr>
    </w:p>
    <w:p>
      <w:pPr>
        <w:spacing w:after="0" w:line="20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Company’s sustainability growth strategy also is informed by the increased adoption of state and Canadian clean fuel standard programs, utility policies, and voluntary market demand for RNG in transportation and industrial applications. Clean fuel standard programs, originally developed in California and subsequently adopted in Oregon, Washington, and New Mexico, establish annual carbon intensity benchmarks for transportation fuels that decrease over time. These programs operate similar to the RFS program in that certain regulated parties purchase credits from fuel producers, including RNG producers, to meet their carbon intensity obligations. Like RINs, clean fuel standard program credit values can fluctuate with policy and market dynamics. As such, we are advocating for existing programs to adopt measures to promote stability in credit pricing and for other states to adopt similar programs that incentivize the growth in RNG. We also are working closely with stakeholders to encourage the voluntary market for RNG demand, including utility RNG procurement programs, and sustainability protocols, as companies and other customers increasingly look to reduce their GHG emissions profiles. However, these state and voluntary programs may be altered, paused, or otherwise revoked by the applicable governmental authorities or as result of legal challenges.</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Currency Rate Exposure — </w:t>
      </w:r>
      <w:r>
        <w:rPr>
          <w:rFonts w:ascii="Times New Roman" w:cs="Times New Roman" w:eastAsia="Times New Roman" w:hAnsi="Times New Roman"/>
          <w:sz w:val="18"/>
          <w:szCs w:val="18"/>
          <w:color w:val="auto"/>
        </w:rPr>
        <w:t>Our operations are primarily in the U.S. but we also have significant operations in Canada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certain countries in Europe. Additionally, we have certain support functions in India. Where significant, we have quantified and described the impact of foreign currency translation on components of income, including operating revenues and operating expenses. However, the impact of foreign currency has not materially affected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5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Reports of Independent Registered Public Accounting Firm </w:t>
            </w:r>
            <w:r>
              <w:rPr>
                <w:rFonts w:ascii="Times New Roman" w:cs="Times New Roman" w:eastAsia="Times New Roman" w:hAnsi="Times New Roman"/>
                <w:sz w:val="18"/>
                <w:szCs w:val="18"/>
                <w:color w:val="000000"/>
              </w:rPr>
              <w:t>(PCAOB ID 42)</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8560" w:type="dxa"/>
            <w:vAlign w:val="bottom"/>
            <w:gridSpan w:val="8"/>
            <w:vMerge w:val="continue"/>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Years Ended December 31, 2024, 2023 and 2022</w:t>
            </w:r>
          </w:p>
        </w:tc>
        <w:tc>
          <w:tcPr>
            <w:tcW w:w="166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for the Years Ended December 31, 2024, 2023 and 2022</w:t>
            </w:r>
          </w:p>
        </w:tc>
        <w:tc>
          <w:tcPr>
            <w:tcW w:w="74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85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2023 and 2022</w:t>
            </w: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Equity for the Years Ended December 31, 2024, 2023 and 2022</w:t>
            </w:r>
          </w:p>
        </w:tc>
        <w:tc>
          <w:tcPr>
            <w:tcW w:w="112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85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Waste Management, Inc.</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0" w:lineRule="exact"/>
        <w:rPr>
          <w:sz w:val="20"/>
          <w:szCs w:val="20"/>
          <w:color w:val="auto"/>
        </w:rPr>
      </w:pPr>
    </w:p>
    <w:p>
      <w:pPr>
        <w:jc w:val="both"/>
        <w:ind w:left="60" w:right="59"/>
        <w:spacing w:after="0" w:line="234" w:lineRule="auto"/>
        <w:rPr>
          <w:sz w:val="20"/>
          <w:szCs w:val="20"/>
          <w:color w:val="auto"/>
        </w:rPr>
      </w:pPr>
      <w:r>
        <w:rPr>
          <w:rFonts w:ascii="Times New Roman" w:cs="Times New Roman" w:eastAsia="Times New Roman" w:hAnsi="Times New Roman"/>
          <w:sz w:val="18"/>
          <w:szCs w:val="18"/>
          <w:color w:val="auto"/>
        </w:rPr>
        <w:t>We have audited Waste Management, Inc.’s internal control over financial reporting as of December 31, 2024, based on criteria established in Internal Control—Integrated Framework issued by the Committee of Sponsoring Organizations of the Treadway Commission (2013 framework) (the COSO criteria). In our opinion, Waste Management, Inc. (the Company) maintained, in all material respects, effective internal control over financial reporting as of December 31, 2024, based on the COSO criteria.</w:t>
      </w:r>
    </w:p>
    <w:p>
      <w:pPr>
        <w:spacing w:after="0" w:line="91" w:lineRule="exact"/>
        <w:rPr>
          <w:sz w:val="20"/>
          <w:szCs w:val="20"/>
          <w:color w:val="auto"/>
        </w:rPr>
      </w:pPr>
    </w:p>
    <w:p>
      <w:pPr>
        <w:jc w:val="both"/>
        <w:ind w:left="60" w:right="59"/>
        <w:spacing w:after="0" w:line="235" w:lineRule="auto"/>
        <w:rPr>
          <w:sz w:val="20"/>
          <w:szCs w:val="20"/>
          <w:color w:val="auto"/>
        </w:rPr>
      </w:pPr>
      <w:r>
        <w:rPr>
          <w:rFonts w:ascii="Times New Roman" w:cs="Times New Roman" w:eastAsia="Times New Roman" w:hAnsi="Times New Roman"/>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Stericycle, Inc., which is included in the 2024 consolidated financial statements of the Company and constituted approximately 13.0% of total assets, excluding goodwill, as of December 31, 2024 and approximately 1.8% of consolidated operating revenues, for the year then ended. Our audit of internal control over financial reporting of the Company also did not include an evaluation of the internal control over financial reporting of Stericycle, Inc.</w:t>
      </w:r>
    </w:p>
    <w:p>
      <w:pPr>
        <w:spacing w:after="0" w:line="93" w:lineRule="exact"/>
        <w:rPr>
          <w:sz w:val="20"/>
          <w:szCs w:val="20"/>
          <w:color w:val="auto"/>
        </w:rPr>
      </w:pPr>
    </w:p>
    <w:p>
      <w:pPr>
        <w:jc w:val="both"/>
        <w:ind w:left="60" w:right="59"/>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2024 consolidated financial statements of the Company, and our report dated February 19, 2025 expressed an unqualified opinion thereon.</w:t>
      </w:r>
    </w:p>
    <w:p>
      <w:pPr>
        <w:spacing w:after="0" w:line="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6" w:lineRule="exact"/>
        <w:rPr>
          <w:sz w:val="20"/>
          <w:szCs w:val="20"/>
          <w:color w:val="auto"/>
        </w:rPr>
      </w:pPr>
    </w:p>
    <w:p>
      <w:pPr>
        <w:jc w:val="both"/>
        <w:ind w:left="60" w:right="59"/>
        <w:spacing w:after="0" w:line="234"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2" w:lineRule="exact"/>
        <w:rPr>
          <w:sz w:val="20"/>
          <w:szCs w:val="20"/>
          <w:color w:val="auto"/>
        </w:rPr>
      </w:pPr>
    </w:p>
    <w:p>
      <w:pPr>
        <w:jc w:val="both"/>
        <w:ind w:left="60" w:right="59"/>
        <w:spacing w:after="0" w:line="24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9" w:lineRule="exact"/>
        <w:rPr>
          <w:sz w:val="20"/>
          <w:szCs w:val="20"/>
          <w:color w:val="auto"/>
        </w:rPr>
      </w:pPr>
    </w:p>
    <w:p>
      <w:pPr>
        <w:jc w:val="both"/>
        <w:ind w:left="60" w:right="59"/>
        <w:spacing w:after="0"/>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6" w:lineRule="exact"/>
        <w:rPr>
          <w:sz w:val="20"/>
          <w:szCs w:val="20"/>
          <w:color w:val="auto"/>
        </w:rPr>
      </w:pPr>
    </w:p>
    <w:p>
      <w:pPr>
        <w:jc w:val="both"/>
        <w:ind w:left="60" w:right="59"/>
        <w:spacing w:after="0" w:line="232"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6" w:lineRule="exact"/>
        <w:rPr>
          <w:sz w:val="20"/>
          <w:szCs w:val="20"/>
          <w:color w:val="auto"/>
        </w:rPr>
      </w:pPr>
    </w:p>
    <w:p>
      <w:pPr>
        <w:jc w:val="both"/>
        <w:ind w:left="60" w:right="59"/>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Waste Management,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Waste Management, Inc. (the Company) as of December 31, 2024 and 2023, the related consolidated statements of operations, comprehensive income, cash flows and changes in equity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88"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19, 2025 expressed an unqualified opinion thereon.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ind w:left="60" w:right="79"/>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Landfill Depletion</w:t>
            </w:r>
          </w:p>
        </w:tc>
      </w:tr>
      <w:tr>
        <w:trPr>
          <w:trHeight w:val="41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Description</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of</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the</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At December 31, 2024, the Company’s landfill assets, net of accumulated depletion,</w:t>
            </w:r>
          </w:p>
        </w:tc>
      </w:tr>
      <w:tr>
        <w:trPr>
          <w:trHeight w:val="2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totaled $8.0 billion and the associated depletion expense for 2024 was $795 million. As</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discussed in Note 2 of the financial statements, the Company updates the estimates used to</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calculate individual landfill depletion rates at least annually, or more often if significant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facts change. Landfill depletion rates are used in the computation of landfill depletion</w:t>
            </w:r>
          </w:p>
        </w:tc>
      </w:tr>
      <w:tr>
        <w:trPr>
          <w:trHeight w:val="234"/>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expense.</w:t>
            </w:r>
          </w:p>
        </w:tc>
      </w:tr>
      <w:tr>
        <w:trPr>
          <w:trHeight w:val="414"/>
        </w:trPr>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Auditing landfill depletion rates and related depletion expense is complex due to the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highly  judgmental  nature  of  assumptions  used  in  estimating  the  rates.  Significant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assumptions used in the calculation of the rates include: estimated future development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costs associated with the construction and retirement of the landfill, estimated remaining</w:t>
            </w:r>
          </w:p>
        </w:tc>
      </w:tr>
      <w:tr>
        <w:trPr>
          <w:trHeight w:val="234"/>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permitted and expansion airspace, and airspace utilization factors.</w:t>
            </w:r>
          </w:p>
        </w:tc>
      </w:tr>
      <w:tr>
        <w:trPr>
          <w:trHeight w:val="412"/>
        </w:trPr>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How</w:t>
            </w:r>
          </w:p>
        </w:tc>
        <w:tc>
          <w:tcPr>
            <w:tcW w:w="13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We  Addressed</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w w:val="99"/>
              </w:rPr>
              <w:t>We obtained an understanding, evaluated the design, and tested the operating effectiveness</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the</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in</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Our</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of the Company’s controls over determining landfill depletion rates and calculating</w:t>
            </w:r>
          </w:p>
        </w:tc>
      </w:tr>
      <w:tr>
        <w:trPr>
          <w:trHeight w:val="2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depletion expense. Our audit procedures included, among others, testing controls over: the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Company’s process for evaluating and updating the significant assumptions used in the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development of the landfill depletion rates, management’s review of those significant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assumptions, and the mathematical accuracy of the calculation and recording of depletion</w:t>
            </w:r>
          </w:p>
        </w:tc>
      </w:tr>
      <w:tr>
        <w:trPr>
          <w:trHeight w:val="234"/>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expense.</w:t>
            </w:r>
          </w:p>
        </w:tc>
      </w:tr>
    </w:tbl>
    <w:p>
      <w:pPr>
        <w:spacing w:after="0" w:line="198" w:lineRule="exact"/>
        <w:rPr>
          <w:sz w:val="20"/>
          <w:szCs w:val="20"/>
          <w:color w:val="auto"/>
        </w:rPr>
      </w:pPr>
    </w:p>
    <w:p>
      <w:pPr>
        <w:jc w:val="both"/>
        <w:ind w:left="1960" w:right="499"/>
        <w:spacing w:after="0" w:line="253" w:lineRule="auto"/>
        <w:rPr>
          <w:sz w:val="20"/>
          <w:szCs w:val="20"/>
          <w:color w:val="auto"/>
        </w:rPr>
      </w:pPr>
      <w:r>
        <w:rPr>
          <w:rFonts w:ascii="Times New Roman" w:cs="Times New Roman" w:eastAsia="Times New Roman" w:hAnsi="Times New Roman"/>
          <w:sz w:val="18"/>
          <w:szCs w:val="18"/>
          <w:color w:val="24282D"/>
        </w:rPr>
        <w:t>To test the landfill asset depletion rates, our audit procedures included, among others, assessing methodologies used by the Company and testing the significant assumptions discussed above, inclusive of the underlying data used by the Company in its development of these assumptions. We compared the significant assumptions used by management to historical trends and, when available, to comparable size landfills accepting a similar type of waste. Regarding expansion airspace, we evaluated the Company’s criteria for inclusion in remaining airspace. In addition, we considered the professional qualifications and objectivity of management’s internal engineers responsible for developing the assumptions. We involved EY engineering specialists to assist with the evaluation of the Company’s landfill future development cost and airspace assumptions. We also tested the completeness and accuracy of the historical data utilized in the development of the landfill depletion rates.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Landfill – Final Capping, Closure and Post-Closure Costs</w:t>
            </w:r>
          </w:p>
        </w:tc>
      </w:tr>
      <w:tr>
        <w:trPr>
          <w:trHeight w:val="34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Description</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of</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the</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At December 31, 2024, the carrying value of the Company’s landfill asset retirement</w:t>
            </w:r>
          </w:p>
        </w:tc>
      </w:tr>
      <w:tr>
        <w:trPr>
          <w:trHeight w:val="2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obligations related to final capping, closure and post-closure costs totaled $3.1 billion. As</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discussed in Note 2 of the financial statements, the Company updates the estimates used to</w:t>
            </w:r>
          </w:p>
        </w:tc>
      </w:tr>
      <w:tr>
        <w:trPr>
          <w:trHeight w:val="234"/>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w w:val="99"/>
              </w:rPr>
              <w:t>measure the asset retirement obligations annually, or more often if significant facts change.</w:t>
            </w:r>
          </w:p>
        </w:tc>
      </w:tr>
      <w:tr>
        <w:trPr>
          <w:trHeight w:val="414"/>
        </w:trPr>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Auditing the landfill asset retirement obligation is complex due to the highly judgmental</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nature of the assumptions used in the measurement process. Significant assumptions</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include: estimated future costs associated with the capping, closure and post closure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activities at each specific landfill, airspace consumed to date in relation to total estimated</w:t>
            </w:r>
          </w:p>
        </w:tc>
      </w:tr>
      <w:tr>
        <w:trPr>
          <w:trHeight w:val="234"/>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permitted and expansion airspace and the projected remaining landfill life.</w:t>
            </w:r>
          </w:p>
        </w:tc>
      </w:tr>
      <w:tr>
        <w:trPr>
          <w:trHeight w:val="425"/>
        </w:trPr>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How</w:t>
            </w:r>
          </w:p>
        </w:tc>
        <w:tc>
          <w:tcPr>
            <w:tcW w:w="13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We  Addressed</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w w:val="99"/>
              </w:rPr>
              <w:t>We obtained an understanding, evaluated the design, and tested the operating effectiveness</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the</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in</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w w:val="96"/>
              </w:rPr>
              <w:t>Our</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of the Company’s controls over the calculation of landfill asset retirement obligations. Our</w:t>
            </w:r>
          </w:p>
        </w:tc>
      </w:tr>
      <w:tr>
        <w:trPr>
          <w:trHeight w:val="2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audit procedures included, among others, testing the Company’s controls over the landfill</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asset retirement obligation estimation process and management’s review of the significant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assumptions used in the estimation of the liability, including the amount and timing of</w:t>
            </w:r>
          </w:p>
        </w:tc>
      </w:tr>
      <w:tr>
        <w:trPr>
          <w:trHeight w:val="234"/>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retirement costs.</w:t>
            </w:r>
          </w:p>
        </w:tc>
      </w:tr>
      <w:tr>
        <w:trPr>
          <w:trHeight w:val="414"/>
        </w:trPr>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To test the landfill asset retirement obligation valuation, we performed audit procedures</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that included, among others, assessing methodologies used by the Company, testing the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completeness of activities included in the estimate (e.g., gas monitoring and extraction),</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and testing the significant assumptions discussed above, inclusive of the underlying data</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used by the Company in its development of these assumptions. We compared the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significant assumptions used by management to historical trends and, when available, to</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comparable size landfills accepting the same type of waste. In addition, we considered the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professional qualifications and objectivity of management’s internal engineers responsible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for developing the assumptions. We involved EY engineering specialists to assist us with</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these procedures. Specifically, we utilized the EY engineering specialists to evaluate the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reasons for significant changes in assumptions from the historical trend, and to determine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w w:val="99"/>
              </w:rPr>
              <w:t>whether the change from the historical trend was appropriate and identified timely. We also</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tested the completeness and accuracy of the historical data utilized in preparing the</w:t>
            </w:r>
          </w:p>
        </w:tc>
      </w:tr>
      <w:tr>
        <w:trPr>
          <w:trHeight w:val="234"/>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estimate.</w:t>
            </w:r>
          </w:p>
        </w:tc>
      </w:tr>
      <w:tr>
        <w:trPr>
          <w:trHeight w:val="445"/>
        </w:trPr>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Stericycle, Inc. – Valuation of Customer Relationships</w:t>
            </w:r>
          </w:p>
        </w:tc>
      </w:tr>
      <w:tr>
        <w:trPr>
          <w:trHeight w:val="344"/>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w w:val="99"/>
              </w:rPr>
              <w:t>Description of the</w:t>
            </w:r>
          </w:p>
        </w:tc>
        <w:tc>
          <w:tcPr>
            <w:tcW w:w="40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 described in Note 17 to the consolidated financial statements, during the year ended</w:t>
            </w:r>
          </w:p>
        </w:tc>
      </w:tr>
      <w:tr>
        <w:trPr>
          <w:trHeight w:val="2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31,  2024,  the  Company  completed  the  acquisition  of  Stericycle,  Inc.</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(“Stericycle”) for purchase consideration of approximately $6.9 billion, of which $2.3</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billion was allocated to customer relationships. The transaction was accounted for as a</w:t>
            </w:r>
          </w:p>
        </w:tc>
      </w:tr>
      <w:tr>
        <w:trPr>
          <w:trHeight w:val="234"/>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business combination.</w:t>
            </w:r>
          </w:p>
        </w:tc>
      </w:tr>
    </w:tbl>
    <w:p>
      <w:pPr>
        <w:spacing w:after="0" w:line="198" w:lineRule="exact"/>
        <w:rPr>
          <w:sz w:val="20"/>
          <w:szCs w:val="20"/>
          <w:color w:val="auto"/>
        </w:rPr>
      </w:pPr>
    </w:p>
    <w:p>
      <w:pPr>
        <w:jc w:val="both"/>
        <w:ind w:left="1960" w:right="499"/>
        <w:spacing w:after="0" w:line="254" w:lineRule="auto"/>
        <w:rPr>
          <w:sz w:val="20"/>
          <w:szCs w:val="20"/>
          <w:color w:val="auto"/>
        </w:rPr>
      </w:pPr>
      <w:r>
        <w:rPr>
          <w:rFonts w:ascii="Times New Roman" w:cs="Times New Roman" w:eastAsia="Times New Roman" w:hAnsi="Times New Roman"/>
          <w:sz w:val="18"/>
          <w:szCs w:val="18"/>
          <w:color w:val="auto"/>
        </w:rPr>
        <w:t>Auditing the Company's accounting for its acquisition of Stericycle was complex due to the significant estimation uncertainty in determining the fair value of certain customer relationships included within Other intangible assets. The Company valued the customer relationships using an income approach; specifically, the multi-period excess earnings model. The significant estimation uncertainty was primarily due to the sensitivity of the fair value to underlying assumptions, including projected revenue, attrition rate, EBITDA margin, and discount rate. These significant assumptions are forward-looking and could be affected by future economic and market conditions.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140"/>
        <w:spacing w:after="0"/>
        <w:tabs>
          <w:tab w:leader="none" w:pos="1940" w:val="left"/>
        </w:tabs>
        <w:rPr>
          <w:sz w:val="20"/>
          <w:szCs w:val="20"/>
          <w:color w:val="auto"/>
        </w:rPr>
      </w:pPr>
      <w:r>
        <w:rPr>
          <w:rFonts w:ascii="Times New Roman" w:cs="Times New Roman" w:eastAsia="Times New Roman" w:hAnsi="Times New Roman"/>
          <w:sz w:val="18"/>
          <w:szCs w:val="18"/>
          <w:i w:val="1"/>
          <w:iCs w:val="1"/>
          <w:color w:val="auto"/>
        </w:rPr>
        <w:t>How We Addressed</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w:t>
      </w:r>
    </w:p>
    <w:p>
      <w:pPr>
        <w:spacing w:after="0" w:line="29" w:lineRule="exact"/>
        <w:rPr>
          <w:sz w:val="20"/>
          <w:szCs w:val="20"/>
          <w:color w:val="auto"/>
        </w:rPr>
      </w:pPr>
    </w:p>
    <w:p>
      <w:pPr>
        <w:ind w:left="140"/>
        <w:spacing w:after="0"/>
        <w:tabs>
          <w:tab w:leader="none" w:pos="1940" w:val="left"/>
        </w:tabs>
        <w:rPr>
          <w:sz w:val="20"/>
          <w:szCs w:val="20"/>
          <w:color w:val="auto"/>
        </w:rPr>
      </w:pPr>
      <w:r>
        <w:rPr>
          <w:rFonts w:ascii="Times New Roman" w:cs="Times New Roman" w:eastAsia="Times New Roman" w:hAnsi="Times New Roman"/>
          <w:sz w:val="18"/>
          <w:szCs w:val="18"/>
          <w:i w:val="1"/>
          <w:iCs w:val="1"/>
          <w:color w:val="auto"/>
        </w:rPr>
        <w:t>the Matter in Our</w:t>
      </w:r>
      <w:r>
        <w:rPr>
          <w:sz w:val="20"/>
          <w:szCs w:val="20"/>
          <w:color w:val="auto"/>
        </w:rPr>
        <w:tab/>
      </w:r>
      <w:r>
        <w:rPr>
          <w:rFonts w:ascii="Times New Roman" w:cs="Times New Roman" w:eastAsia="Times New Roman" w:hAnsi="Times New Roman"/>
          <w:sz w:val="18"/>
          <w:szCs w:val="18"/>
          <w:color w:val="auto"/>
        </w:rPr>
        <w:t>of  the  Company’s  controls  over  the  purchase  price  allocation  process.  We  tested</w:t>
      </w:r>
    </w:p>
    <w:p>
      <w:pPr>
        <w:spacing w:after="0" w:line="9" w:lineRule="exact"/>
        <w:rPr>
          <w:sz w:val="20"/>
          <w:szCs w:val="20"/>
          <w:color w:val="auto"/>
        </w:rPr>
      </w:pPr>
    </w:p>
    <w:p>
      <w:pPr>
        <w:ind w:left="1960" w:right="499" w:hanging="1819"/>
        <w:spacing w:after="0" w:line="260" w:lineRule="auto"/>
        <w:tabs>
          <w:tab w:leader="none" w:pos="194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management’s review controls over the significant assumptions described above along with the completeness and accuracy of the data used in the fair value estimates.</w:t>
      </w:r>
    </w:p>
    <w:p>
      <w:pPr>
        <w:spacing w:after="0" w:line="181" w:lineRule="exact"/>
        <w:rPr>
          <w:sz w:val="20"/>
          <w:szCs w:val="20"/>
          <w:color w:val="auto"/>
        </w:rPr>
      </w:pPr>
    </w:p>
    <w:p>
      <w:pPr>
        <w:jc w:val="both"/>
        <w:ind w:left="1960" w:right="499"/>
        <w:spacing w:after="0" w:line="253" w:lineRule="auto"/>
        <w:rPr>
          <w:sz w:val="20"/>
          <w:szCs w:val="20"/>
          <w:color w:val="auto"/>
        </w:rPr>
      </w:pPr>
      <w:r>
        <w:rPr>
          <w:rFonts w:ascii="Times New Roman" w:cs="Times New Roman" w:eastAsia="Times New Roman" w:hAnsi="Times New Roman"/>
          <w:sz w:val="18"/>
          <w:szCs w:val="18"/>
          <w:color w:val="auto"/>
        </w:rPr>
        <w:t>To test the estimated fair value of the customer relationships, our audit procedures included, among others, evaluating the Company's selection of the valuation methodology, evaluating the significant assumptions described above used to develop the prospective financial information and testing the completeness and accuracy of the underlying data supporting the significant assumptions. We involved our valuation specialists to assist with evaluating the methodology and significant assumptions used by the management to determine the fair value estimates. We compared the significant assumptions to current industry, market and economic trends, the assumptions used by the Company to value similar assets in other acquisitions, as well as historical results of the Company's business and other guideline companies within the same industry. We also performed a sensitivity analysis of the significant assumptions to evaluate the change in the estimated fair value of the customer relationships resulting from changes in the assumptions.</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 and Par Value Amounts)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70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$165 and $30, respectively</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receivables, net of allowance for doubtful accounts of $4 and $4, respectively</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Parts and supplies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0"/>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0" w:type="dxa"/>
            <w:vAlign w:val="bottom"/>
          </w:tcPr>
          <w:p>
            <w:pPr>
              <w:spacing w:after="0"/>
              <w:rPr>
                <w:sz w:val="1"/>
                <w:szCs w:val="1"/>
                <w:color w:val="auto"/>
              </w:rPr>
            </w:pPr>
          </w:p>
        </w:tc>
      </w:tr>
      <w:tr>
        <w:trPr>
          <w:trHeight w:val="198"/>
        </w:trPr>
        <w:tc>
          <w:tcPr>
            <w:tcW w:w="70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and depletion of $23,777 and</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$22,826, respectively</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16,968</w:t>
            </w:r>
          </w:p>
        </w:tc>
        <w:tc>
          <w:tcPr>
            <w:tcW w:w="0" w:type="dxa"/>
            <w:vAlign w:val="bottom"/>
          </w:tcPr>
          <w:p>
            <w:pPr>
              <w:spacing w:after="0"/>
              <w:rPr>
                <w:sz w:val="1"/>
                <w:szCs w:val="1"/>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funds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09"/>
        </w:trPr>
        <w:tc>
          <w:tcPr>
            <w:tcW w:w="7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32,823</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22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16"/>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0"/>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0" w:type="dxa"/>
            <w:vAlign w:val="bottom"/>
          </w:tcPr>
          <w:p>
            <w:pPr>
              <w:spacing w:after="0"/>
              <w:rPr>
                <w:sz w:val="1"/>
                <w:szCs w:val="1"/>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and environmental remediation liabilities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36,313</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25,927</w:t>
            </w:r>
          </w:p>
        </w:tc>
        <w:tc>
          <w:tcPr>
            <w:tcW w:w="0" w:type="dxa"/>
            <w:vAlign w:val="bottom"/>
          </w:tcPr>
          <w:p>
            <w:pPr>
              <w:spacing w:after="0"/>
              <w:rPr>
                <w:sz w:val="1"/>
                <w:szCs w:val="1"/>
                <w:color w:val="auto"/>
              </w:rPr>
            </w:pP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Waste Management, Inc. stockholders’ equity:</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1,500,000,000 shares authorized; 630,282,461 shares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issued</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14,334</w:t>
            </w:r>
          </w:p>
        </w:tc>
        <w:tc>
          <w:tcPr>
            <w:tcW w:w="0" w:type="dxa"/>
            <w:vAlign w:val="bottom"/>
          </w:tcPr>
          <w:p>
            <w:pPr>
              <w:spacing w:after="0"/>
              <w:rPr>
                <w:sz w:val="1"/>
                <w:szCs w:val="1"/>
                <w:color w:val="auto"/>
              </w:rPr>
            </w:pPr>
          </w:p>
        </w:tc>
      </w:tr>
      <w:tr>
        <w:trPr>
          <w:trHeight w:val="216"/>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at cost 228,788,284 and 228,827,218 shares, respectively</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(12,993)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w:t>
            </w:r>
          </w:p>
        </w:tc>
        <w:tc>
          <w:tcPr>
            <w:tcW w:w="0" w:type="dxa"/>
            <w:vAlign w:val="bottom"/>
          </w:tcPr>
          <w:p>
            <w:pPr>
              <w:spacing w:after="0"/>
              <w:rPr>
                <w:sz w:val="1"/>
                <w:szCs w:val="1"/>
                <w:color w:val="auto"/>
              </w:rPr>
            </w:pPr>
          </w:p>
        </w:tc>
      </w:tr>
      <w:tr>
        <w:trPr>
          <w:trHeight w:val="210"/>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Waste Management, Inc. stockholders’ equity</w:t>
            </w: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7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7"/>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19,698</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loss from divestitures, asset impairments and unusual items, net</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0"/>
        </w:trPr>
        <w:tc>
          <w:tcPr>
            <w:tcW w:w="57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16,333</w:t>
            </w: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early extinguishment of debt, net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 net income (losses) of unconsolidated entities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0" w:type="dxa"/>
            <w:vAlign w:val="bottom"/>
          </w:tcPr>
          <w:p>
            <w:pPr>
              <w:spacing w:after="0"/>
              <w:rPr>
                <w:sz w:val="1"/>
                <w:szCs w:val="1"/>
                <w:color w:val="auto"/>
              </w:rPr>
            </w:pPr>
          </w:p>
        </w:tc>
      </w:tr>
      <w:tr>
        <w:trPr>
          <w:trHeight w:val="197"/>
        </w:trPr>
        <w:tc>
          <w:tcPr>
            <w:tcW w:w="57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6.84</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5.69</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6.81</w:t>
            </w:r>
          </w:p>
        </w:tc>
        <w:tc>
          <w:tcPr>
            <w:tcW w:w="18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5.66</w:t>
            </w: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0"/>
        </w:trPr>
        <w:tc>
          <w:tcPr>
            <w:tcW w:w="602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7220" w:type="dxa"/>
            <w:vAlign w:val="bottom"/>
            <w:gridSpan w:val="6"/>
          </w:tcPr>
          <w:p>
            <w:pPr>
              <w:ind w:left="172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80" w:type="dxa"/>
            <w:vAlign w:val="bottom"/>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instruments, net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securities, net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Post-retirement benefit obligations, net</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Waste Management, Inc.</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80" w:type="dxa"/>
            <w:vAlign w:val="bottom"/>
            <w:gridSpan w:val="2"/>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9"/>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9"/>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net income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32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consolidated net income to net cash provided by operating</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activities: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accretion on landfill and environmental remediation liabilities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 for bad debts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gain on disposal of 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Goodwill impairment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 loss from divestitures, asset impairments (other than goodwill) and other, net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 in net (income) losses of unconsolidated entities, net of dividends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Loss on early extinguishment of debt, net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operating assets and liabilities, net of effects of acquisitions and divestitures: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Receivables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Deferred revenues and other liabilities</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5,390</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4,719</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divestitures of businesses and other assets, net of cash divested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(3,091)</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borrowings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repayments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repurchase program</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dividends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Tax payments associated with equity-based compensation transactions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 and cash</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equivalents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 and cash equivalents</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beginning of period</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end of period</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and cash equivalents at end of</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period: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32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and cash equivalents included in other current 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Restricted cash and cash equivalents included in restricted funds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end of period</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13"/>
          </w:tcPr>
          <w:p>
            <w:pPr>
              <w:ind w:left="340"/>
              <w:spacing w:after="0"/>
              <w:rPr>
                <w:sz w:val="20"/>
                <w:szCs w:val="20"/>
                <w:color w:val="auto"/>
              </w:rPr>
            </w:pPr>
            <w:r>
              <w:rPr>
                <w:rFonts w:ascii="Times New Roman" w:cs="Times New Roman" w:eastAsia="Times New Roman" w:hAnsi="Times New Roman"/>
                <w:sz w:val="14"/>
                <w:szCs w:val="14"/>
                <w:b w:val="1"/>
                <w:bCs w:val="1"/>
                <w:color w:val="auto"/>
              </w:rPr>
              <w:t>Waste Management, Inc. Stockholders’ Equity</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38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2"/>
        </w:trPr>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Amounts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70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142"/>
        </w:trPr>
        <w:tc>
          <w:tcPr>
            <w:tcW w:w="1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2021</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7,126</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5,169</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12,004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(214,159)</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(10,072)</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1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2,240</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26"/>
        </w:trPr>
        <w:tc>
          <w:tcPr>
            <w:tcW w:w="19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(86)</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(86)</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net of tax</w:t>
            </w: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of</w:t>
            </w:r>
          </w:p>
        </w:tc>
        <w:tc>
          <w:tcPr>
            <w:tcW w:w="12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(1,077)</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(1,077)</w:t>
            </w:r>
          </w:p>
        </w:tc>
        <w:tc>
          <w:tcPr>
            <w:tcW w:w="80" w:type="dxa"/>
            <w:vAlign w:val="bottom"/>
          </w:tcPr>
          <w:p>
            <w:pPr>
              <w:spacing w:after="0"/>
              <w:rPr>
                <w:sz w:val="10"/>
                <w:szCs w:val="10"/>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$2.60 per common share</w:t>
            </w: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Equity-based compensation</w:t>
            </w: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transactions, net</w:t>
            </w: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repurchase</w:t>
            </w:r>
          </w:p>
        </w:tc>
        <w:tc>
          <w:tcPr>
            <w:tcW w:w="12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(1,500)</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(9,796)</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(1,570)</w:t>
            </w: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program</w:t>
            </w: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Acquisitions and other, net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2"/>
        </w:trPr>
        <w:tc>
          <w:tcPr>
            <w:tcW w:w="19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2022</w:t>
            </w: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6,864</w:t>
            </w:r>
          </w:p>
        </w:tc>
        <w:tc>
          <w:tcPr>
            <w:tcW w:w="8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5,314</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13,167</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(222,396)</w:t>
            </w:r>
          </w:p>
        </w:tc>
        <w:tc>
          <w:tcPr>
            <w:tcW w:w="8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(11,569)</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9"/>
        </w:trPr>
        <w:tc>
          <w:tcPr>
            <w:tcW w:w="1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26"/>
        </w:trPr>
        <w:tc>
          <w:tcPr>
            <w:tcW w:w="1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(loss), net of tax</w:t>
            </w: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of</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(1,136)</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(1,136)</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$2.80 per common share</w:t>
            </w: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Equity-based compensation</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transactions, net</w:t>
            </w: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repurchase</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(1,315)</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(7,840)</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(1,255)</w:t>
            </w: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w:t>
            </w: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2"/>
        </w:trPr>
        <w:tc>
          <w:tcPr>
            <w:tcW w:w="1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2023</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6,896</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5,351</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14,334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(228,827)</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(12,751)</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26"/>
        </w:trPr>
        <w:tc>
          <w:tcPr>
            <w:tcW w:w="1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Adoption of new accounting</w:t>
            </w:r>
          </w:p>
        </w:tc>
        <w:tc>
          <w:tcPr>
            <w:tcW w:w="12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(12)</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0"/>
                <w:szCs w:val="10"/>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standard</w:t>
            </w: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1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(78)</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(78)</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(loss), net of tax</w:t>
            </w: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of</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(1,210)</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(1,210)</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$3.00 per common share</w:t>
            </w: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Equity-based compensation</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transactions, net</w:t>
            </w: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repurchase</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(265)</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(1,494)</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(325)</w:t>
            </w: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w:t>
            </w: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2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2"/>
        </w:trPr>
        <w:tc>
          <w:tcPr>
            <w:tcW w:w="19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2024</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8,254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5,496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15,858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(228,788)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(12,993)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3" w:lineRule="exact"/>
        <w:rPr>
          <w:sz w:val="20"/>
          <w:szCs w:val="20"/>
          <w:color w:val="auto"/>
        </w:rPr>
      </w:pPr>
    </w:p>
    <w:p>
      <w:pPr>
        <w:ind w:left="360" w:hanging="310"/>
        <w:spacing w:after="0"/>
        <w:tabs>
          <w:tab w:leader="none" w:pos="3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18. 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recycling and resource recovery services. Through our subsidiaries, including our Waste Management Renewable Energy (“WM Renewable Energy”) segment, we are also a leading developer, operator and owner of landfill gas-to-energy facilities in the U.S. and Canada that produce renewable electricity and renewable natural gas, which is a significant source of fuel that we allocate to our natural gas fleet.</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November 4, 2024, we completed our acquisition of all outstanding shares of Stericycle, Inc. (“Stericycle”), the operations of which are presented in this report as our new WM Healthcare Solutions segment. The acquisition expands our offerings in the U.S. and Canada and adds operations in parts of Western Europe. These businesses provide Regulated Waste and Compliance Services (“RWCS”) and Secure Information Destruction (“SID”) services that protect people and brands, promote health and well-being and safeguard the environment. Refer to Note 17 for further discussion.</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five reportable segments, referred to as (i) Collection and Disposal - East Tier (“East Tier”); (ii) Collection and Disposal - West Tier (“West Tier”); (iii) Recycling Processing and Sales; (iv) WM Renewable Energy and (v) WM Healthcare Solutions. Our East and West Tiers along with certain ancillary services (“Other Ancillary”) that are not managed through our Tier segments, but that support our collection and disposal operations, form our “Collection and Disposal” businesses. We also provide additional services not managed through our five reportable segments, which are presented as Corporate and Other. Refer to Note 19 for further discussion.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When necessary, reclassifications have been made to our prior period financial information to conform to the current year presentation and are not material to our consolidated financial statements.</w:t>
      </w:r>
    </w:p>
    <w:p>
      <w:pPr>
        <w:spacing w:after="0" w:line="171" w:lineRule="exact"/>
        <w:rPr>
          <w:sz w:val="20"/>
          <w:szCs w:val="20"/>
          <w:color w:val="auto"/>
        </w:rPr>
      </w:pPr>
    </w:p>
    <w:p>
      <w:pPr>
        <w:ind w:left="360" w:hanging="310"/>
        <w:spacing w:after="0"/>
        <w:tabs>
          <w:tab w:leader="none" w:pos="3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WMI, its wholly-owned and majority-owned subsidiaries and certain variable interest entities for which we have determined that we are the primary beneficiary. In the opinion of management, these Consolidated Financial Statements include all adjustments, which, unless otherwise disclosed, are of a normal recurring nature, necessary for a fair presentation of the financial position, results of operations, comprehensive income, cash flows, and changes in equity for the periods presented. All material intercompany</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balances and transactions have been eliminated. Investments in unconsolidated entities are accounted for under the appropriate method of accounting.</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Estimates and Assumptions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Each of these items is discussed in additional detail below. Actual results could differ materially from the estimates and assumptions that we use in the preparation of our financial statements.</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Cash in excess of current operating requirements is invested in short-term interest-bearing instruments with maturities of three months or less at the date of purchase and is stated at cost, which approximates market value.</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and cash equivalents, investments held within restricted funds,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 As of December 31, 2024 and 2023, no single customer represented greater than 5% of total accounts receivable.</w:t>
      </w:r>
    </w:p>
    <w:p>
      <w:pPr>
        <w:spacing w:after="0" w:line="1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Accounts and Other Receivables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receivables, which are recorded when billed, when services are performed or when cash is advanced, are claims against third parties that will generally be settled in cash. The carrying value of our receivables, net of the allowance for doubtful accounts, represents the estimated net realizable value. We estimate our allowance for doubtful accounts based on historical collection trends; type of customer, such as municipal or commercial; the age of outstanding receivables and existing as well as expected economic conditions. If events or changes in circumstances indicate that specific receivable balances may be impaired, further consideration is given to the collectability of those balances and the allowance is adjusted accordingly. Past-due receivable balances are written off when our collection efforts have been unsuccessful. Also, we recognize interest income on long-term interest-bearing notes receivable as the interest accrues under the terms of the notes. We no longer accrue interest once the notes are deemed uncollectible.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reflects the activity in our allowance for doubtful accounts of trade receivables for the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(in millions):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written-off, net of recoveries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Acquisitions, divestitures and other, net</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7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To determine the allowance for doubtful accounts for trade receivables, we rely upon, among other factors, historical loss trends, the age of outstanding receivables, and existing as well as expected economic conditions, and we believe that all of our trade receivables share similar risk characteristics. We monitor our credit exposure on an ongoing basis and assess whether assets in the pool continue to display similar risk characteristics. Our acquisition of Stericycle introduced a new mix of customers which we believe generally share similar risk characteristics with our existing trade receivables; however, Stericycle has and continues to encounter certain billing and collection delays. The Company determined that a portion of the acquired Stericycle receivables have experienced more-than-insignificant deterioration in credit quality since origination, as of the acquisition date. As a result, a gross allowance for doubtful accounts of trade receivables was recognized in the amount of $130 million as of the acquisition date of November 4, 2024. Based on aging analysis as of December 31, 2024 and 2023, approximately 85% and 90%, respectively, of our trade receivables were outstanding less than 60 days.</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To determine the allowance for doubtful accounts for other receivables, as well as loans and other instruments, we rely primarily on credit ratings and associated default rates based on the maturity of the instrument. Other receivables, as of December 31, 2024 and 2023, include receivables related to income tax payments in excess of our current income tax obligations of $255 million and $120 million, respectively. Other receivables as of December 31, 2024 and 2023 also include a receivable of $46 million and $26 million, respectively, related to alternative fuel tax credits. Based on an aging analysis as of December 31, 2024 and 2023, approximately 65% and 50%, respectively, of our other receivables were due within 12 months or less.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Parts and Supplies</w:t>
      </w:r>
    </w:p>
    <w:p>
      <w:pPr>
        <w:spacing w:after="0" w:line="22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Parts and supplies consist primarily of spare parts, fuel, tires, lubricants and processed recycling materials. Our parts and supplies are stated at the lower of cost (using the average cost method) or market.</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Landfill Accounting</w:t>
      </w:r>
    </w:p>
    <w:p>
      <w:pPr>
        <w:spacing w:after="0" w:line="22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Basis of Landfill Assets — </w:t>
      </w:r>
      <w:r>
        <w:rPr>
          <w:rFonts w:ascii="Times New Roman" w:cs="Times New Roman" w:eastAsia="Times New Roman" w:hAnsi="Times New Roman"/>
          <w:sz w:val="18"/>
          <w:szCs w:val="18"/>
          <w:color w:val="auto"/>
        </w:rPr>
        <w:t>We capitalize various costs that we incur to make a landfill ready to accept waste.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costs generally 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and directly related engineering, capitalized interest, on-site road construction and other capital infrastructure costs. The cost basis of our landfill assets also includes asset retirement costs, which represent estimates of future costs associated with landfill final capping, closure and post-closure activities. These costs are discussed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Final Capping, Closure and Post-Closure Costs — </w:t>
      </w:r>
      <w:r>
        <w:rPr>
          <w:rFonts w:ascii="Times New Roman" w:cs="Times New Roman" w:eastAsia="Times New Roman" w:hAnsi="Times New Roman"/>
          <w:sz w:val="18"/>
          <w:szCs w:val="18"/>
          <w:color w:val="auto"/>
        </w:rPr>
        <w:t>Following is a description of our asset retirement activities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accounting:</w:t>
      </w:r>
    </w:p>
    <w:p>
      <w:pPr>
        <w:spacing w:after="0" w:line="158" w:lineRule="exact"/>
        <w:rPr>
          <w:sz w:val="20"/>
          <w:szCs w:val="20"/>
          <w:color w:val="auto"/>
        </w:rPr>
      </w:pPr>
    </w:p>
    <w:p>
      <w:pPr>
        <w:jc w:val="both"/>
        <w:ind w:left="720" w:right="79" w:hanging="319"/>
        <w:spacing w:after="0" w:line="257"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Final Capping — </w:t>
      </w:r>
      <w:r>
        <w:rPr>
          <w:rFonts w:ascii="Times New Roman" w:cs="Times New Roman" w:eastAsia="Times New Roman" w:hAnsi="Times New Roman"/>
          <w:sz w:val="18"/>
          <w:szCs w:val="18"/>
          <w:color w:val="auto"/>
        </w:rPr>
        <w:t>Generally involves the installation of flexible membrane liners and geosynthetic clay liners,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drainage and compacted soil layers and topsoil over areas of a landfill where total airspace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associated with each final capping event.</w:t>
      </w:r>
    </w:p>
    <w:p>
      <w:pPr>
        <w:spacing w:after="0" w:line="74"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Closure — </w:t>
      </w:r>
      <w:r>
        <w:rPr>
          <w:rFonts w:ascii="Times New Roman" w:cs="Times New Roman" w:eastAsia="Times New Roman" w:hAnsi="Times New Roman"/>
          <w:sz w:val="18"/>
          <w:szCs w:val="18"/>
          <w:color w:val="auto"/>
        </w:rPr>
        <w:t>Includes the construction of the final portion of methane gas collection systems (when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demobilization and routine maintenance costs. These are costs incurred after the site ceases to accept waste, but before the landfill is certified as closed by the applicable regulatory agency. These costs are recorded as an asset retirement obligation as airspace is consumed over the life of the landfill with a corresponding increase in the landfill asset. Closure obligations are recorded over the life of the landfill based on estimates of the discounted cash flows associated with performing closure activities.</w:t>
      </w:r>
    </w:p>
    <w:p>
      <w:pPr>
        <w:spacing w:after="0" w:line="74"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Post-Closure — </w:t>
      </w:r>
      <w:r>
        <w:rPr>
          <w:rFonts w:ascii="Times New Roman" w:cs="Times New Roman" w:eastAsia="Times New Roman" w:hAnsi="Times New Roman"/>
          <w:sz w:val="18"/>
          <w:szCs w:val="18"/>
          <w:color w:val="auto"/>
        </w:rPr>
        <w:t>Involves the maintenance and monitoring of a landfill site that has been certified closed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regulatory agency. Generally, we are required to maintain and monitor landfill sites for a 30-year period. These maintenance and monitoring costs are recorded as an asset retirement obligation as airspace is consumed over the life of the landfill with a corresponding increase in the landfill asset. Post-closure obligations are recorded over the life of the landfill based on estimates of the discounted cash flows associated with performing post-closure activities.</w:t>
      </w:r>
    </w:p>
    <w:p>
      <w:pPr>
        <w:spacing w:after="0" w:line="18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develop our estimates of these obligations using input from our operations personnel, engineers and accountants. Our estimates are based on our interpretation of current requirements and are intended to approximate fair value. Absent quoted market prices, the estimate of fair value is based on the best available information, including the results of present value techniques. In many cases, we contract with third parties to fulfill our obligations for final capping, closure and post-closure. We use historical experience, professional engineering judgment and quoted or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completed.</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Once we have determined final capping, closure and post-closure costs, we inflate those costs to the expected time of payment and discount those expected future costs back to present value. As of December 31, 2024, 2023 and 2022, we inflated these costs in current dollars to the expected time of payment using an inflation rate of 2.50%, for each year. We discounted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 average rate of the recorded obligation. As a result, the credit-adjusted, risk-free discount rate used to calculate the present value of an obligation is specific to each individual asset retirement obligation. The weighted average rate applicable to our long-term asset retirement obligations as of December 31, 2024 was approximately 4.8%.</w:t>
      </w:r>
    </w:p>
    <w:p>
      <w:pPr>
        <w:spacing w:after="0" w:line="19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record the estimated fair value of final capping, closure and post-closure liabilities for our landfills based on the airspace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Sustained changes in inflation rates or the estimated costs, timing or extent of future final capping, closure and post-closure activities typically result in both (i) a current adjustment to the recorded liability and landfill asset and (ii) a change in liability and asset amounts to be recorded prospectively over either the remaining permitted and expansion airspace (as defined below) of the related discrete final capping event or the remaining permitted and expansion airspace of the landfill, as appropriate. Any changes related to the capitalized and future cost of the landfill assets are then recognized in accordance with our landfill depletion policy, which would generally result in depletion expense being recognized prospectively over the remaining permitted and expansion airspace of the final capping event or the remaining permitted and expansion airspace of the landfill, as appropriate. Changes in such estimates associated with a fully consumed landfill result in an adjustment to the recorded liability and landfill assets with an immediate corresponding adjustment to landfill airspace depletion expense.</w:t>
      </w:r>
    </w:p>
    <w:p>
      <w:pPr>
        <w:spacing w:after="0" w:line="19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Interest accretion on final capping, closure and post-closure liabilities is recorded using the effective interest method and is recorded as landfill operating costs, which is included in operating expenses within our Consolidated Statements of Operations.</w:t>
      </w:r>
    </w:p>
    <w:p>
      <w:pPr>
        <w:spacing w:after="0" w:line="17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Depletion of Landfill Assets — </w:t>
      </w:r>
      <w:r>
        <w:rPr>
          <w:rFonts w:ascii="Times New Roman" w:cs="Times New Roman" w:eastAsia="Times New Roman" w:hAnsi="Times New Roman"/>
          <w:sz w:val="18"/>
          <w:szCs w:val="18"/>
          <w:color w:val="auto"/>
        </w:rPr>
        <w:t>The depletable basis of a landfill includes (i) amounts previously expended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net of accumulated airspace depletion; (ii) capitalized landfill final capping, closure and post-closure costs, net of accumulated airspace depletion; (iii) projections of future purchase and development costs required to develop the landfill site to its remaining permitted and expansion airspace (as defined below) and (iv) projected asset retirement costs related to landfill final capping, closure and post-closure activities.</w:t>
      </w:r>
    </w:p>
    <w:p>
      <w:pPr>
        <w:spacing w:after="0" w:line="18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Depletion is recorded on a units-of-consumption basis, applying expense as a rate per ton. The rate per ton is calculated by dividing each component of the depletable basis of a landfill by the number of tons needed to fill the corresponding asset’s airspace. For landfills that we do not own, but operate through lease or other contractual agreements, the rate per ton is calculated based on expected airspace to be utilized over the lesser of the contractual term of the underlying agreement or the life of the landfill.</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apply the following guidelines in determining a landfill’s remaining permitted and expansion airspace:</w:t>
      </w:r>
    </w:p>
    <w:p>
      <w:pPr>
        <w:spacing w:after="0" w:line="115" w:lineRule="exact"/>
        <w:rPr>
          <w:sz w:val="20"/>
          <w:szCs w:val="20"/>
          <w:color w:val="auto"/>
        </w:rPr>
      </w:pPr>
    </w:p>
    <w:p>
      <w:pPr>
        <w:jc w:val="both"/>
        <w:ind w:left="720" w:right="79" w:hanging="319"/>
        <w:spacing w:after="0" w:line="261"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Remaining Permitted Airspace — </w:t>
      </w:r>
      <w:r>
        <w:rPr>
          <w:rFonts w:ascii="Times New Roman" w:cs="Times New Roman" w:eastAsia="Times New Roman" w:hAnsi="Times New Roman"/>
          <w:sz w:val="18"/>
          <w:szCs w:val="18"/>
          <w:color w:val="auto"/>
        </w:rPr>
        <w:t>Our engineers, in consultation with third-party engineering consultants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surveyors, 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Airspace — </w:t>
      </w:r>
      <w:r>
        <w:rPr>
          <w:rFonts w:ascii="Times New Roman" w:cs="Times New Roman" w:eastAsia="Times New Roman" w:hAnsi="Times New Roman"/>
          <w:sz w:val="18"/>
          <w:szCs w:val="18"/>
          <w:color w:val="auto"/>
        </w:rPr>
        <w:t>We also include currently unpermitted expansion airspace in our estimate of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and expansion airspace in certain circumstances. First, for unpermitted airspace to be initially included in our estimate of remaining permitted and expansion airspace, we must believe that obtaining the expansion permit is likely. Second, we must generally expect the initial expansion permit application to be submitted within one year and the final expansion permit to be received within five years, in addition to meeting the following criteria:</w:t>
      </w:r>
    </w:p>
    <w:p>
      <w:pPr>
        <w:spacing w:after="0" w:line="76"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are actively working on the expansion of an existing landfill, including efforts to obtain land use and local, state or provincial approvals;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legal right to use or obtain land to be included in the expansion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1040" w:right="79" w:hanging="315"/>
        <w:spacing w:after="0" w:line="282" w:lineRule="auto"/>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significant known technical, legal, community, business, or political restrictions or similar issues that could negatively affect the success of such expansion; and</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analysis has been completed based on conceptual design, and the results demonstrate that the expansion meets Company criteria for investment.</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on a quarterly basis. Of the 18 landfill sites with expansions included as of December 31, 2024, one landfill required the Chief Financial Officer to approve the inclusion of the unpermitted airspace because the permit application process did not meet the one- or five-year requirements.</w:t>
      </w:r>
    </w:p>
    <w:p>
      <w:pPr>
        <w:spacing w:after="0" w:line="19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depletable basis of the landfill.</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consider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9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depletion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earnings may be experienced due to higher depletion rates or higher expenses; or higher earnings may result if the opposite occurs. Most significantly, if it is determined that expansion capacity should no longer be considered in calculating the recoverability of a landfill asset, we may be required to recognize an asset impairment or incur significantly higher depletion expense. If at any time management makes the decision to abandon the expansion effort, the capitalized costs related to the expansion effort are expensed immediately.</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Environmental Remediation Liabilities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 up.</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Where it is probable that a liability has been incurred, we estimate costs required to remediate sites based on site-specific facts and circumstances. We routinely review and evaluate sites that require remediation and determine our estimated cost for the likely remedy based on a number of estimates and assumptions. Next, we review the same type of information with respect to other named and unnamed PRPs. Estimates of the costs for the likely remedy are then developed using our internal resources, third-party environmental engineers or other service providers. Internally developed estimates are based on:</w:t>
      </w:r>
    </w:p>
    <w:p>
      <w:pPr>
        <w:spacing w:after="0" w:line="79" w:lineRule="exact"/>
        <w:rPr>
          <w:sz w:val="20"/>
          <w:szCs w:val="20"/>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judgment and experience in remediating our own and unrelated parties’ sites;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available from regulatory agencies as to costs of remediation;</w:t>
      </w:r>
    </w:p>
    <w:p>
      <w:pPr>
        <w:spacing w:after="0" w:line="1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financial resources and relative degree of responsibility of other PRPs who may be liable for remediation of a specific site; and</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 allocation of costs among PRPs, unless the actual allocation has been determined.</w:t>
      </w:r>
    </w:p>
    <w:p>
      <w:pPr>
        <w:spacing w:after="0" w:line="22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(where estimable), our aggregate potential liability would be approximately $9 million higher than the $222 million recorded in the Consolidated Balance Sheet as of December 31, 2024.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9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record our obligations on an undiscounted basis unless we are aware of a material environmental liability where we believe that both the amount and timing of the payments are fixed or reliably determinable.</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Property and Equipment (exclusive of landfills, discussed above)</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record property and equipment at cost. Expenditures for major additions and improvements are capitalized and maintenance activities are expensed as incurred. We depreciate property and equipment over the estimated useful life of the asset using the straight-line method. We generally assume no salvage value for our depreciable property and equipment. When property and equipment are retired, sold or otherwise disposed of, the cost and accumulated depreciation are removed from our accounts and any resulting gain or loss is included in results of operations as an offset or increase to operating expense for the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estimated useful lives for significant property and equipment categories are as follows (in years):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57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209"/>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 excluding rail haul cars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10</w:t>
            </w: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 — rail haul cars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to 30</w:t>
            </w: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 (a)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30</w:t>
            </w: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to 40</w:t>
            </w: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10</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5700" w:type="dxa"/>
            <w:vAlign w:val="bottom"/>
          </w:tcPr>
          <w:p>
            <w:pPr>
              <w:spacing w:after="0"/>
              <w:rPr>
                <w:sz w:val="10"/>
                <w:szCs w:val="10"/>
                <w:color w:val="auto"/>
              </w:rPr>
            </w:pPr>
          </w:p>
        </w:tc>
        <w:tc>
          <w:tcPr>
            <w:tcW w:w="980" w:type="dxa"/>
            <w:vAlign w:val="bottom"/>
          </w:tcPr>
          <w:p>
            <w:pPr>
              <w:spacing w:after="0"/>
              <w:rPr>
                <w:sz w:val="10"/>
                <w:szCs w:val="10"/>
                <w:color w:val="auto"/>
              </w:rPr>
            </w:pPr>
          </w:p>
        </w:tc>
      </w:tr>
    </w:tbl>
    <w:p>
      <w:pPr>
        <w:spacing w:after="0" w:line="63" w:lineRule="exact"/>
        <w:rPr>
          <w:sz w:val="20"/>
          <w:szCs w:val="20"/>
          <w:color w:val="auto"/>
        </w:rPr>
      </w:pPr>
    </w:p>
    <w:p>
      <w:pPr>
        <w:ind w:left="380" w:right="79" w:hanging="330"/>
        <w:spacing w:after="0" w:line="282"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recycling and renewable natural gas (“RNG”) facilities and WM Healthcare Solutions autoclaves and incinerators as well as containers.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lease property and equipment in the ordinary course of our business. Our operating lease activities primarily consist of leases for real estate, landfills, fleet vehicles and operating equipment. Our financing lease activities primarily consist of leases for operating equipment, railcars and landfill assets. Our leases have varying terms. Some may include renewal or purchase options, escalation clauses, restrictions, penalties or other obligations that we consider in determining minimum lease payments. The leases are classified as either operating leases or financing leases, as appropriate.</w:t>
      </w:r>
    </w:p>
    <w:p>
      <w:pPr>
        <w:spacing w:after="0" w:line="18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Leases (excluding landfill leases discussed below) — </w:t>
      </w:r>
      <w:r>
        <w:rPr>
          <w:rFonts w:ascii="Times New Roman" w:cs="Times New Roman" w:eastAsia="Times New Roman" w:hAnsi="Times New Roman"/>
          <w:sz w:val="18"/>
          <w:szCs w:val="18"/>
          <w:color w:val="auto"/>
        </w:rPr>
        <w:t>The majority of our leases are operating leases.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classification generally can be attributed to either (i) relatively low fixed minimum lease payments as a 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Leases (excluding landfill leases discussed below) — </w:t>
      </w:r>
      <w:r>
        <w:rPr>
          <w:rFonts w:ascii="Times New Roman" w:cs="Times New Roman" w:eastAsia="Times New Roman" w:hAnsi="Times New Roman"/>
          <w:sz w:val="18"/>
          <w:szCs w:val="18"/>
          <w:color w:val="auto"/>
        </w:rPr>
        <w:t>Assets under financing leases are capitalized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rates determined at the commencement of each lease and are depreciated over either the useful life of the asset or the lease term, as appropriate, on a straight-line basis. The present value of the related lease payments is recorded as a debt obligation.</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Landfill Leases — </w:t>
      </w:r>
      <w:r>
        <w:rPr>
          <w:rFonts w:ascii="Times New Roman" w:cs="Times New Roman" w:eastAsia="Times New Roman" w:hAnsi="Times New Roman"/>
          <w:sz w:val="18"/>
          <w:szCs w:val="18"/>
          <w:color w:val="auto"/>
        </w:rPr>
        <w:t>From an operating perspective, landfills that we lease are similar to landfills we own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we will operate the landfill for the life of the operating permit. The most significant portion of our rental obligations for landfill leases is contingent upon operating factors such as disposal volume and often there are no contractual minimum rental obligations. Contingent rental obligations are expensed as incurred. For landfill financing leases that provide for minimum contractual rental obligations, we record the present value of the minimum obligation as part of the landfill asset, which is depleted on a units-of-consumption basis over the shorter of the lease term or the life of the landfill.</w:t>
      </w:r>
    </w:p>
    <w:p>
      <w:pPr>
        <w:spacing w:after="0" w:line="18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operating and financing leases, including landfill leases, our rent expense for each of the last three years and future minimum lease payments are disclosed in Note 7.</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generally recognize assets acquired and liabilities assumed in business combinations, including contingent assets and liabilities, based on fair value estimates as of the date of acquisition.</w:t>
      </w:r>
    </w:p>
    <w:p>
      <w:pPr>
        <w:spacing w:after="0" w:line="160"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 </w:t>
      </w:r>
      <w:r>
        <w:rPr>
          <w:rFonts w:ascii="Times New Roman" w:cs="Times New Roman" w:eastAsia="Times New Roman" w:hAnsi="Times New Roman"/>
          <w:sz w:val="18"/>
          <w:szCs w:val="18"/>
          <w:color w:val="auto"/>
        </w:rPr>
        <w:t>In certain acquisitions, we agree to pay additional amounts to sellers contingent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achievement by the acquired businesses of certain negotiated goals, such as targeted revenue levels, targeted disposal</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volumes or the issuance of permits for expanded landfill airspace. We have recognized liabilities for these contingent obligations based on their estimated fair value as of the date of acquisition with any differences between the acquisition date fair value, subsequent remeasurements and the ultimate settlement of the obligations being recognized as an adjustment to income from operations. Refer to Note 11 for adjustments recognized during the reported periods.</w:t>
      </w:r>
    </w:p>
    <w:p>
      <w:pPr>
        <w:spacing w:after="0" w:line="17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Acquired Assets and Assumed Liabilities — </w:t>
      </w:r>
      <w:r>
        <w:rPr>
          <w:rFonts w:ascii="Times New Roman" w:cs="Times New Roman" w:eastAsia="Times New Roman" w:hAnsi="Times New Roman"/>
          <w:sz w:val="18"/>
          <w:szCs w:val="18"/>
          <w:color w:val="auto"/>
        </w:rPr>
        <w:t>Assets and liabilities arising from contingencies such as pre-acquisition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matters and litigation are recognized at their acquisition-date fair value when their respective fair values can be determined. Acquired contingencies whose fair value is not determinable during the measurement period are recognized only if they are probable and reasonably estimable.</w:t>
      </w:r>
    </w:p>
    <w:p>
      <w:pPr>
        <w:spacing w:after="0" w:line="18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Acquisition-date fair value estimates are revised as necessary if, and when, additional information regarding these contingencies becomes available to further define and quantify assets acquired and liabilities assumed. Subsequent to finalization of purchase accounting, these revisions are accounted for as adjustments to income from operations. All acquisition-related transaction costs are generally expensed as incurred. During 2024, we acquired Stericycle which is included in our new WM Healthcare Solutions segment. We also acquired 11 solid waste and recycling businesses. See Note 17 for additional information related to our acquisitions.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Goodwill is the excess of our purchase cost over the fair value of the net assets of acquired businesses. We do not amortize goodwill, but as discussed in the </w:t>
      </w:r>
      <w:r>
        <w:rPr>
          <w:rFonts w:ascii="Times New Roman" w:cs="Times New Roman" w:eastAsia="Times New Roman" w:hAnsi="Times New Roman"/>
          <w:sz w:val="18"/>
          <w:szCs w:val="18"/>
          <w:i w:val="1"/>
          <w:iCs w:val="1"/>
          <w:color w:val="auto"/>
        </w:rPr>
        <w:t>Long-Lived Asset Impairments</w:t>
      </w:r>
      <w:r>
        <w:rPr>
          <w:rFonts w:ascii="Times New Roman" w:cs="Times New Roman" w:eastAsia="Times New Roman" w:hAnsi="Times New Roman"/>
          <w:sz w:val="18"/>
          <w:szCs w:val="18"/>
          <w:color w:val="auto"/>
        </w:rPr>
        <w:t xml:space="preserve"> section below, we assess our goodwill for impairment at least annually.</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Other intangible assets consist primarily of customer and supplier relationships, covenants not-to-compete, licenses, permits (other than landfill permits, which are combined with landfill tangible assets and depleted per our landfill depletion policy), trade names and other contracts. Other intangible assets are recorded at fair value on the acquisition date and are generally amortized using either a 150% declining balance approach or a straight-line basis as we determine appropriate. Customer and supplier relationships are typically amortized over terms of 10 to 15 years. Covenants not-to-compete are amortized over the term of the non-compete covenant, which is generally five years. Definite-lived intangibles are amortized over their useful lives on a straight-line basis while indefinite-lived intangibles are not amortized.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Long-Lived Asset Impairments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assess our long-lived assets for impairment as required under the applicable accounting standards. If necessary, impairments are recorded in (gain) loss from divestitures, asset impairments and unusual items, net in our Consolidated Statements of Operations.</w:t>
      </w:r>
    </w:p>
    <w:p>
      <w:pPr>
        <w:spacing w:after="0" w:line="17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Including Landfills and Definite-Lived Intangible Assets </w:t>
      </w:r>
      <w:r>
        <w:rPr>
          <w:rFonts w:ascii="Times New Roman" w:cs="Times New Roman" w:eastAsia="Times New Roman" w:hAnsi="Times New Roman"/>
          <w:sz w:val="18"/>
          <w:szCs w:val="18"/>
          <w:color w:val="auto"/>
        </w:rPr>
        <w:t>— We monitor the carrying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generally determined by considering (i) internally developed discounted projected cash flow analysis of the asset or asset group; (ii)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192"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Indefinite-Lived Intangible Assets, Including Goodwill — </w:t>
      </w:r>
      <w:r>
        <w:rPr>
          <w:rFonts w:ascii="Times New Roman" w:cs="Times New Roman" w:eastAsia="Times New Roman" w:hAnsi="Times New Roman"/>
          <w:sz w:val="18"/>
          <w:szCs w:val="18"/>
          <w:color w:val="auto"/>
        </w:rPr>
        <w:t>At least annually using a measurement date of October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more frequently if warranted, we assess our indefinite-lived intangible assets, including the goodwill of our reporting units, for impairment.</w:t>
      </w:r>
    </w:p>
    <w:p>
      <w:pPr>
        <w:spacing w:after="0" w:line="17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first perform a qualitative assessment to determine if it is more likely than not that the fair value of a reporting unit is less than its carrying value. If the assessment indicates a possible impairment, we complete a quantitative review, comparing the estimated fair value of a reporting unit to its carrying amount, including goodwill. An impairment charge is recognized if the asset’s estimated fair value is less than its carrying amount. Fair value is typically estimated using an income approach using Level 3 inputs.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19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Note 11 for information related to impairments recognized during the reported periods.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Insured and Self-Insured Claims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have retained a significant portion of the risks related to our health and welfare, general liability, automobile liability and workers’ compensation claims programs. For our self-insured portions, the exposure for unpaid claims and associated expenses, including incurred but not reported losses, is based on an actuarial valuation or internal estimates. The gross estimated liability associated with settling unpaid claims is included in accrued liabilities in our Consolidated Balance Sheets if expected to be settled within one year; otherwise, it is included in other long-term liabilities. Estimated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insurance recoveries related to recorded liabilities are reflected as other current receivables or other long-term assets in our Consolidated Balance Sheets when we believe that the receipt of such amounts is probable.</w:t>
      </w:r>
    </w:p>
    <w:p>
      <w:pPr>
        <w:spacing w:after="0" w:line="16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use a wholly-owned insurance captive to insure the deductibles for our general liability, automobile liability and workers’ compensation claims programs. We continue to maintain conventional insurance policies with third-party insurers. WMI pays an annual premium to the insurance captive on behalf of WMI and its insured subsidiaries, typically in the first quarter of the year, for estimated losses based on an external actuarial analysis. These premiums are held in a restricted funds account to be used solely for paying insurance claims, resulting in a transfer of risk from our Company to the insurance captive, and are allocated between current and long-term assets depending on estimated timing of the use of funds.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Restricted Funds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restricted funds accounts primarily consist of funds deposited for purposes of funding insurance claims and settling landfill final capping, closure, post-closure and environmental remediation obligations. These funds are generally allocated between cash, money market funds, equity securities and available-for-sale debt securities depending on the estimated timing and purpose of the use of funds. We use a wholly-owned insurance captive to insure the deductibles for certain claims programs and the premiums paid are directly deposited into a restricted funds account to be used solely for paying insurance claims. At several of our landfills, we provide financial assurance by depositing cash into restricted trust funds for purposes of settling final capping, closure, post-closure and environmental remediation obligations. Balances maintained in these restricted funds accounts will fluctuate based on (i) changes in statutory requirements; (ii) future deposits made to comply with contractual arrangements; (iii) the ongoing use of funds; (iv) acquisitions or divestitures and (v) changes in the fair value of the financial instruments held in the restricted funds accounts.</w:t>
      </w:r>
    </w:p>
    <w:p>
      <w:pPr>
        <w:spacing w:after="0" w:line="19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See Notes 16 and 18 for additional discussion related to restricted funds accounts for final capping, closure, post-closure or environmental remediation obligations.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Investments in Unconsolidated Entities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a result of adopting ASU 2023-02 in 2024, our investments in entities established to invest in and manage low-income housing properties are accounted for using the proportional amortization method. Under the proportional amortization method, the equity investment is amortized in proportion to the income tax credits and other income tax benefits received. Investments in unconsolidated entities over which the Company has significant influence are accounted for under the equity method of accounting. Equity investments in which the Company does not have the ability to exert significant influence over the investees’ operating and financing activities are measured using a quantitative approach as these investments do not have readily determinable fair values. The quantitative approach, or measurement alternative, is equal to its cost minus impairment, if any, plus or minus changes resulting from observable price changes in orderly transactions for the identical or a similar investment of the same issuer. The following table summarizes our investments in unconsolidated entities as of December 31 (in millions):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Borders>
              <w:bottom w:val="single" w:sz="8" w:color="CCEEFF"/>
            </w:tcBorders>
          </w:tcPr>
          <w:p>
            <w:pPr>
              <w:spacing w:after="0"/>
              <w:rPr>
                <w:sz w:val="15"/>
                <w:szCs w:val="15"/>
                <w:color w:val="auto"/>
              </w:rPr>
            </w:pPr>
          </w:p>
        </w:tc>
        <w:tc>
          <w:tcPr>
            <w:tcW w:w="47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 qualifying for proportional amortization method (a)</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without readily determinable fair values</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9"/>
        </w:trPr>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0"/>
        </w:trPr>
        <w:tc>
          <w:tcPr>
            <w:tcW w:w="22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63" w:lineRule="exact"/>
        <w:rPr>
          <w:sz w:val="20"/>
          <w:szCs w:val="20"/>
          <w:color w:val="auto"/>
        </w:rPr>
      </w:pPr>
    </w:p>
    <w:p>
      <w:pPr>
        <w:ind w:left="380" w:right="79" w:hanging="330"/>
        <w:spacing w:after="0" w:line="282" w:lineRule="auto"/>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above, our low-income housing investments are accounted for using the proportional amortization method. Prior to 2024, these investments were included as equity method investments.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monitor and assess the carrying value of our investments throughout the year for potential impairment and write them down to their fair value when other-than-temporary declines exist. Fair value is generally based on (i) other third-party investors’ recent or pending transactions in the securities; (ii) other information available regarding the current market for similar assets; (iii) a market or income approach, as deemed appropriate and/or (iv) a quantitative approach, or measurement alternative, as noted above. Impairments of our investments are recorded in (gain) loss from divestitures, asset impairments and unusual items, net in our Consolidated Statements of Operations in accordance with appropriate accounting guidance.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Note 11 for information related to impairments and other adjustments recognized during the reported periods.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At times we use derivative instruments to manage risk. To qualify for hedge accounting, the hedged item must expose us to risk and the related derivative instrument must reduce the exposure to that risk and meet specific hedge documentation requirements related to designation dates, expectations for hedge effectiveness and the probability that hedged future transactions will occur as forecasted. We formally designate derivative instruments as hedges and document and assess their effectiveness at inception of the hedge and on a quarterly basis thereafter. Forecasted transactions are evaluated for the probability of occurrence.</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are required to recognize derivative instruments at fair value as either assets or liabilities on our Consolidated Balance Sheets unless such instruments meet certain normal purchase/normal sale criteria. For derivatives that qualify for hedge accounting, we designate them as cash flow hedges. The change in the fair value of a cash flow hedge is reported in accumulated other comprehensive income (loss) and is reclassified to earnings when the forecasted transaction affects earnings. See Note 6 for additional information regarding our derivative instruments.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operations are primarily in the U.S. but we also have significant operations in Canada and certain countries in Western Europe. Additionally, we have certain support functions in India. Local currencies generally are considered the functional currencies of our operations and investments outside the U.S. The assets and liabilities of our foreign operations are translated to U.S. dollars using the exchange rate as of the balance sheet date. Revenues and expenses are translated to U.S. dollars using the average exchange rate during the period. The resulting translation difference is reflected as a component of other comprehensive income (loss), net of tax. Foreign currency translation adjustments have primarily been impacted by fluctuations in the U.S. dollar/Canadian dollar exchange rate and to a lesser extent, the U.S. dollar/Euro exchange rates and the U.S. dollar/British pound sterling exchange rate.</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U.S. dollar/Canadian dollar exchange rate was 1.4384 at December 31, 2024, 1.3243 at December 31, 2023 and 1.3554 at December 31, 2022. The U.S. dollar/Euro exchange rate was 0.9659 at December 31, 2024. The U.S. dollar/British pound sterling exchange rate was 0.7990 at December 31, 2024. Refer to Note 12 for information regarding the impacts of foreign currency on our comprehensive income and results of operations.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generally recognize revenue as services are performed or products are delivered. For example, revenue typically is recognized as waste is collected; tons are received at our landfills, transfer stations or processing facilities; or recycling and other commodities, such as RNG, electricity and capacity, Renewable Identification Numbers (“RINs”) and Renewable Energy Credits (“RECs”), are sold. Compliance services revenues are recognized over the contractual service period. We also bill for certain services prior to performance. Such services include, among others, certain commercial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and residential contracts, and equipment rentals. These advanced billings are included in deferred revenues and recognized as revenue in the period service is provided.</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Collection and Disposal operating revenues are primarily generated from fees charged for our collection, transfer and disposal. Revenues from our collection operations are influenced by factors such as collection frequency, type of collection equipment furnished, type and volume or weight of the waste collected, distance to the disposal facility or recycling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considering our cost of loading, transporting and disposing of the solid waste at a disposal site. The fees we charge for our services generally include applicable fees, such as our energy surcharge, which are intended to pass through to customers direct and indirect costs incurred.</w:t>
      </w:r>
    </w:p>
    <w:p>
      <w:pPr>
        <w:spacing w:after="0" w:line="19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Recycling Processing and Sales revenues generally consist of tipping fees and the sale of recycling commodities to and/or on behalf of third parties.</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WM Renewable Energy revenue is primarily generated from (i) the sale of captured and converted landfill methane gas; (ii) the sale of RINs under the Renewable Fuel Standard (“RFS”) program implemented by the U.S. Environmental Protection Agency (“EPA”); (iii) sale of Low Carbon Fuel credits designed to stimulate the use of low-carbon fuels and (iv) the sale of energy (electricity and capacity) and associated RECs.</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WM Healthcare Solutions revenue is primarily generated from (i) RWCS, which provide collection, processing and disposal of regulated and specialized waste, including medical, pharmaceutical and hazardous waste, and compliance programs and (ii) SID services, which provides for the collection of personal and confidential information for secure destruction and recycling of sorted office paper. The customers typically enter into a contract for the provision of services on a weekly, monthly or as-needed basis over the contract term. We receive fees based on a monthly, quarterly or annual rate and/or fees based on contractual rates depending on measures including the volume, weight, and type of waste, as specified in applicable contracts.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19 for additional information related to revenue by reportable segment and major lines of business.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Deferred Revenues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record deferred revenues when cash payments are received or due in advance of our performance and classify them as current since they are earned within a year and there are no significant financing components. Substantially all our deferred revenues during the reported periods are realized as revenues within one to three months, when the related services are performed.</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Contract Acquisition Costs</w:t>
      </w:r>
    </w:p>
    <w:p>
      <w:pPr>
        <w:spacing w:after="0" w:line="241"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Consolidated Balance Sheets.</w:t>
      </w:r>
    </w:p>
    <w:p>
      <w:pPr>
        <w:spacing w:after="0" w:line="7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and 2023, we had $218 million and $207 million of deferred contract costs, respectively, of which $154 million and $148 million, respectively, were related to deferred sales incentives. During each of the years ended December 31, 2024, 2023 and 2022, we amortized $28 million, $26 million and $24 million, respectively, of sales incentives to selling, general and administrative expense.</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Long-Term Contracts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Approximately 25% of our total revenue is derived from contracts with a remaining term greater than one year. The consideration for these contracts is primarily variable in nature. The variable elements of these contracts primarily include the number of homes and businesses served, weight, number of containers served and annual rate changes based on consumer price index, fuel prices or other operating costs. Such contracts are generally within our collection, recycling and other lines of business and have a weighted average remaining contract life of approximately four years. We do not disclose the value of unsatisfied performance obligations for these contracts as our right to consideration corresponds directly to the value provided to the customer for services completed to date and all future variable consideration is allocated to wholly unsatisfied performance obligations.</w:t>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Environmental Credits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generate environmental credits through our production and sale of renewable energy. Our operating costs are associated with the production of renewable energy. The environmental credits are a form of government incentive generated through our renewable energy production and not as a result of the physical attributes of our production. The environmental credits are able to be separated and sold independent of the renewable energy produced. Thus, no cost is allocated to the environmental credit when it is generated.</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Capitalized Interest</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capitalize interest on certain projects under development, including landfill expansion projects, certain assets under construction, including operating landfills and landfill gas-to-energy projects and internal-use software. During 2024, 2023 and 2022, total interest costs were $728 million, $590 million and $425 million, respectively, of which $84 million, $63 million and $29 million were capitalized in 2024, 2023 and 2022, respectively.</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income tax in the U.S., Canada and within parts of Western Europe. Current tax obligations associated with our income tax expense are reflected in the accompanying Consolidated Balance Sheets as a component of accrued liabilities and our deferred tax obligations are reflected in deferred income taxes.</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Deferred income taxes are based on the difference between the financial reporting and tax basis of assets and liabilities. Deferred income tax expense represents the change during the reporting period in the deferred tax assets and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We establish reserves for uncertain tax positions when, despite our belief that our tax return positions are supportable, we believe that certain positions may be challenged and potentially disallowed. When facts and circumstances change, we adjust these reserves through our income tax expense.</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Should interest and penalties be assessed by taxing authorities on any underpayment of income tax, such amounts would be accrued and classified as a component of our income tax expense in our Consolidated Statements of Operations.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8 for discussion of our income taxes.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Contingent Liabilities</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estimate the amount of potential exposure we may have with respect to claims, assessments and litigation in accordance with authoritative guidance on accounting for contingencies. We are party to pending or threatened legal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proceedings covering a wide range of matters in various jurisdictions. It is difficult to predict the outcome of litigation, as it is subject to many uncertainties. Additionally, it is not always possible for management to make a meaningful estimate of the potential loss or range of loss associated with such contingencies. See Note 10 for discussion of our commitments and contingencies.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Supplemental Cash Flow Information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supplemental cash flow information for the year ended December 31 (in millions):</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net of capitalized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2024, 2023 and 2022, we had $474 million, $276 million and $225 million, respectively, of non-cash financing activities primarily from our low-income housing investments and new financing leases. These are discussed further in Notes 6 and 8. Additionally, we had approximately $20 million, $25 million and $135 million of non-cash investing activities related to non-cash consideration transferred as part of our acquisitions in 2024, 2023 and 2022, respectively. See Note 17 for further discussion of our acquisitions.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 in 2024</w:t>
      </w:r>
    </w:p>
    <w:p>
      <w:pPr>
        <w:spacing w:after="0" w:line="227" w:lineRule="exact"/>
        <w:rPr>
          <w:sz w:val="20"/>
          <w:szCs w:val="20"/>
          <w:color w:val="auto"/>
        </w:rPr>
      </w:pPr>
    </w:p>
    <w:p>
      <w:pPr>
        <w:jc w:val="both"/>
        <w:ind w:left="60" w:right="79" w:firstLine="130"/>
        <w:spacing w:after="0" w:line="284" w:lineRule="auto"/>
        <w:rPr>
          <w:sz w:val="20"/>
          <w:szCs w:val="20"/>
          <w:color w:val="auto"/>
        </w:rPr>
      </w:pPr>
      <w:r>
        <w:rPr>
          <w:rFonts w:ascii="Times New Roman" w:cs="Times New Roman" w:eastAsia="Times New Roman" w:hAnsi="Times New Roman"/>
          <w:sz w:val="18"/>
          <w:szCs w:val="18"/>
          <w:i w:val="1"/>
          <w:iCs w:val="1"/>
          <w:color w:val="auto"/>
        </w:rPr>
        <w:t>Investments—Equity Method and Joint Ventures: Accounting for Investments in Tax Credit Structures Using the Proportional Amortization Method</w:t>
      </w:r>
    </w:p>
    <w:p>
      <w:pPr>
        <w:spacing w:after="0" w:line="160" w:lineRule="exact"/>
        <w:rPr>
          <w:sz w:val="20"/>
          <w:szCs w:val="20"/>
          <w:color w:val="auto"/>
        </w:rPr>
      </w:pPr>
    </w:p>
    <w:p>
      <w:pPr>
        <w:jc w:val="both"/>
        <w:ind w:left="60" w:right="59" w:firstLine="130"/>
        <w:spacing w:after="0" w:line="254" w:lineRule="auto"/>
        <w:rPr>
          <w:sz w:val="20"/>
          <w:szCs w:val="20"/>
          <w:color w:val="auto"/>
        </w:rPr>
      </w:pPr>
      <w:r>
        <w:rPr>
          <w:rFonts w:ascii="Times New Roman" w:cs="Times New Roman" w:eastAsia="Times New Roman" w:hAnsi="Times New Roman"/>
          <w:sz w:val="18"/>
          <w:szCs w:val="18"/>
          <w:color w:val="auto"/>
        </w:rPr>
        <w:t>In March 2023, the Financial Accounting Standards Board (“FASB”) issued Accounting Standards Update ("ASU") 2023-02, “Investments—Equity Method and Joint Ventures (Topic 323): Accounting for Investments in Tax Credit Structures Using the Proportional Amortization Method" (“ASU 2023-02”), which allows reporting entities the option to use the proportional amortization method to account for equity investments made primarily for the purpose of receiving income tax credits and other income tax benefits when certain requirements are met. For public business entities, the amendments are effective for fiscal years beginning after December 15, 2023, including interim periods within those fiscal years. In 2024, the Company adopted ASU 2023-02 on a modified retrospective basis. The amended guidance did not have a material impact on our consolidated financial statements. See Note 8 for further discussion of our low-income housing investments.</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Improvements to Reportable Segment Disclosures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expands annual and interim disclosure requirements for reportable segments, primarily through enhanced disclosures about significant segment expenses. ASU 2023-07 was effective for public entities for fiscal years beginning after December 15, 2023, and interim periods within fiscal years beginning after December 15, 2024. The Company adopted ASU 2023-07 for the year ended 2024 and accordingly, our segment disclosures for years 2023 and 2022 have been retrospectively recast under this guidance. See Note 19 for further discussion of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Landfill and Environmental Remediation Liabilities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Liabilities for landfill and environmental remediation costs as of December 31 are presented in the table below (in millions):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1080" w:type="dxa"/>
            <w:vAlign w:val="bottom"/>
            <w:gridSpan w:val="3"/>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4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 accrued liabilities)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2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w:t>
            </w:r>
          </w:p>
        </w:tc>
        <w:tc>
          <w:tcPr>
            <w:tcW w:w="6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209"/>
        </w:trPr>
        <w:tc>
          <w:tcPr>
            <w:tcW w:w="28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changes to landfill and environmental remediation liabilities for the year ended December 31, 2024 are reflected in the table below (in millions):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20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0" w:type="dxa"/>
            <w:vAlign w:val="bottom"/>
          </w:tcPr>
          <w:p>
            <w:pPr>
              <w:spacing w:after="0"/>
              <w:rPr>
                <w:sz w:val="1"/>
                <w:szCs w:val="1"/>
                <w:color w:val="auto"/>
              </w:rPr>
            </w:pPr>
          </w:p>
        </w:tc>
      </w:tr>
      <w:tr>
        <w:trPr>
          <w:trHeight w:val="173"/>
        </w:trPr>
        <w:tc>
          <w:tcPr>
            <w:tcW w:w="68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Obligations incurred and capitalized</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Obligations settled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accretion</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Revisions in estimates and interest rate assumptions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Acquisitions, divestitures and other adjustments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recorded liabilities as of December 31, 2024 include the impacts of inflating certain of these costs based on our expectations of the timing of cash settlement.</w:t>
      </w:r>
    </w:p>
    <w:p>
      <w:pPr>
        <w:spacing w:after="0" w:line="158" w:lineRule="exact"/>
        <w:rPr>
          <w:sz w:val="20"/>
          <w:szCs w:val="20"/>
          <w:color w:val="auto"/>
        </w:rPr>
      </w:pPr>
    </w:p>
    <w:p>
      <w:pPr>
        <w:ind w:left="360" w:hanging="310"/>
        <w:spacing w:after="0"/>
        <w:tabs>
          <w:tab w:leader="none" w:pos="3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as of December 31 consisted of the following (in millions):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Borders>
              <w:bottom w:val="single" w:sz="8" w:color="CCEEFF"/>
            </w:tcBorders>
          </w:tcPr>
          <w:p>
            <w:pPr>
              <w:spacing w:after="0"/>
              <w:rPr>
                <w:sz w:val="15"/>
                <w:szCs w:val="15"/>
                <w:color w:val="auto"/>
              </w:rPr>
            </w:pPr>
          </w:p>
        </w:tc>
        <w:tc>
          <w:tcPr>
            <w:tcW w:w="38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16"/>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Landfills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19,473</w:t>
            </w:r>
          </w:p>
        </w:tc>
      </w:tr>
      <w:tr>
        <w:trPr>
          <w:trHeight w:val="216"/>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w:t>
            </w:r>
          </w:p>
        </w:tc>
      </w:tr>
      <w:tr>
        <w:trPr>
          <w:trHeight w:val="216"/>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Machinery and equipment (a)</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w:t>
            </w:r>
          </w:p>
        </w:tc>
      </w:tr>
      <w:tr>
        <w:trPr>
          <w:trHeight w:val="216"/>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Containers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r>
      <w:tr>
        <w:trPr>
          <w:trHeight w:val="216"/>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w:t>
            </w:r>
          </w:p>
        </w:tc>
      </w:tr>
      <w:tr>
        <w:trPr>
          <w:trHeight w:val="216"/>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10"/>
        </w:trPr>
        <w:tc>
          <w:tcPr>
            <w:tcW w:w="2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39,794</w:t>
            </w:r>
          </w:p>
        </w:tc>
      </w:tr>
      <w:tr>
        <w:trPr>
          <w:trHeight w:val="216"/>
        </w:trPr>
        <w:tc>
          <w:tcPr>
            <w:tcW w:w="6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 of tangible property and equipment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(11,518)</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w:t>
            </w:r>
          </w:p>
        </w:tc>
      </w:tr>
      <w:tr>
        <w:trPr>
          <w:trHeight w:val="216"/>
        </w:trPr>
        <w:tc>
          <w:tcPr>
            <w:tcW w:w="6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Less: Accumulated depletion of landfill airspace</w:t>
            </w:r>
          </w:p>
        </w:tc>
        <w:tc>
          <w:tcPr>
            <w:tcW w:w="3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(12,259)</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(11,643)</w:t>
            </w:r>
          </w:p>
        </w:tc>
      </w:tr>
      <w:tr>
        <w:trPr>
          <w:trHeight w:val="209"/>
        </w:trPr>
        <w:tc>
          <w:tcPr>
            <w:tcW w:w="6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 (b)</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16,968</w:t>
            </w:r>
          </w:p>
        </w:tc>
      </w:tr>
      <w:tr>
        <w:trPr>
          <w:trHeight w:val="20"/>
        </w:trPr>
        <w:tc>
          <w:tcPr>
            <w:tcW w:w="22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r>
    </w:tbl>
    <w:p>
      <w:pPr>
        <w:spacing w:after="0" w:line="63" w:lineRule="exact"/>
        <w:rPr>
          <w:sz w:val="20"/>
          <w:szCs w:val="20"/>
          <w:color w:val="auto"/>
        </w:rPr>
      </w:pPr>
    </w:p>
    <w:p>
      <w:pPr>
        <w:jc w:val="both"/>
        <w:ind w:left="380" w:right="79" w:hanging="330"/>
        <w:spacing w:after="0" w:line="261" w:lineRule="auto"/>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and 2023, includes (i) $1.7 billion and $1.5 billion, respectively, related to recycling facilities and (ii) $834 million and $720 million, respectively, related to RNG facilities. December 31, 2024 also includes $419 million related to autoclaves, incinerators, and other equipment of Stericycle that was acquired on November 4, 2024 and is now included in WM Healthcare Solutions.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right="180" w:hanging="330"/>
        <w:spacing w:after="0" w:line="282" w:lineRule="auto"/>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approximately $3.4 billion and $2.8 billion of construction in progress as of December 31, 2024 and 2023, respectively.</w:t>
      </w:r>
    </w:p>
    <w:p>
      <w:pPr>
        <w:spacing w:after="0" w:line="134"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11 for information regarding asset impairments.</w:t>
      </w:r>
    </w:p>
    <w:p>
      <w:pPr>
        <w:spacing w:after="0" w:line="185" w:lineRule="exact"/>
        <w:rPr>
          <w:sz w:val="20"/>
          <w:szCs w:val="20"/>
          <w:color w:val="auto"/>
        </w:rPr>
      </w:pPr>
    </w:p>
    <w:p>
      <w:pPr>
        <w:ind w:left="60" w:right="160" w:firstLine="324"/>
        <w:spacing w:after="0" w:line="282" w:lineRule="auto"/>
        <w:rPr>
          <w:sz w:val="20"/>
          <w:szCs w:val="20"/>
          <w:color w:val="auto"/>
        </w:rPr>
      </w:pPr>
      <w:r>
        <w:rPr>
          <w:rFonts w:ascii="Times New Roman" w:cs="Times New Roman" w:eastAsia="Times New Roman" w:hAnsi="Times New Roman"/>
          <w:sz w:val="18"/>
          <w:szCs w:val="18"/>
          <w:color w:val="auto"/>
        </w:rPr>
        <w:t>Depreciation and depletion expense, including for assets recorded as financing leases, consisted of the following for the year ended December 31 (in millions):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tangible property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16"/>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Depletion of landfill airspace</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10"/>
        </w:trPr>
        <w:tc>
          <w:tcPr>
            <w:tcW w:w="6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depletion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5 for information regarding amortization of our intangible assets.</w:t>
      </w:r>
    </w:p>
    <w:p>
      <w:pPr>
        <w:spacing w:after="0" w:line="194" w:lineRule="exact"/>
        <w:rPr>
          <w:sz w:val="20"/>
          <w:szCs w:val="20"/>
          <w:color w:val="auto"/>
        </w:rPr>
      </w:pPr>
    </w:p>
    <w:p>
      <w:pPr>
        <w:ind w:left="360" w:hanging="310"/>
        <w:spacing w:after="0"/>
        <w:tabs>
          <w:tab w:leader="none" w:pos="3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189" w:lineRule="exact"/>
        <w:rPr>
          <w:sz w:val="20"/>
          <w:szCs w:val="20"/>
          <w:color w:val="auto"/>
        </w:rPr>
      </w:pPr>
    </w:p>
    <w:p>
      <w:pPr>
        <w:jc w:val="both"/>
        <w:ind w:left="60" w:right="160" w:firstLine="324"/>
        <w:spacing w:after="0" w:line="253" w:lineRule="auto"/>
        <w:rPr>
          <w:sz w:val="20"/>
          <w:szCs w:val="20"/>
          <w:color w:val="auto"/>
        </w:rPr>
      </w:pPr>
      <w:r>
        <w:rPr>
          <w:rFonts w:ascii="Times New Roman" w:cs="Times New Roman" w:eastAsia="Times New Roman" w:hAnsi="Times New Roman"/>
          <w:sz w:val="18"/>
          <w:szCs w:val="18"/>
          <w:color w:val="auto"/>
        </w:rPr>
        <w:t>Goodwill was $13,438 million and $9,254 million as of December 31, 2024 and 2023, respectively. As discussed in Note 2, we perform our annual impairment test of goodwill balances for our reporting units using a measurement date of October 1. We will also perform interim tests if an impairment indicator exists. In 2023, as a result of a longer-than-anticipated ramp toward full scale and profitability of a business engaged in accelerating film and plastic wrap recycling capabilities, we recorded a goodwill impairment charge of $168 million, with $22 million attributable to noncontrolling interests. This charge was partially offset by the recognition of $46 million of income related to the reversal of a liability for contingent consideration associated with our investment in such business for the year ended December 31, 2023. This net charge was reflected in our financial statements as part of our Recycling Processing and Sales segment. Fair value of the business was estimated using an income approach based on long-term projected discounted future cash flows of the reporting unit. The $4,184 million increase in goodwill during 2024 is primarily related to our acquisition of Stericycle. There were no impairments of goodwill or other intangible assets as of December 31, 2024. See Notes 11 and 17 for additional information.</w:t>
      </w:r>
    </w:p>
    <w:p>
      <w:pPr>
        <w:spacing w:after="0" w:line="149" w:lineRule="exact"/>
        <w:rPr>
          <w:sz w:val="20"/>
          <w:szCs w:val="20"/>
          <w:color w:val="auto"/>
        </w:rPr>
      </w:pPr>
    </w:p>
    <w:p>
      <w:pPr>
        <w:jc w:val="both"/>
        <w:ind w:left="60" w:right="160" w:firstLine="324"/>
        <w:spacing w:after="0" w:line="258" w:lineRule="auto"/>
        <w:rPr>
          <w:sz w:val="20"/>
          <w:szCs w:val="20"/>
          <w:color w:val="auto"/>
        </w:rPr>
      </w:pPr>
      <w:r>
        <w:rPr>
          <w:rFonts w:ascii="Times New Roman" w:cs="Times New Roman" w:eastAsia="Times New Roman" w:hAnsi="Times New Roman"/>
          <w:sz w:val="18"/>
          <w:szCs w:val="18"/>
          <w:color w:val="auto"/>
        </w:rPr>
        <w:t>Goodwill is included within each segment’s total assets. For segment reporting purposes, our recycling facilities and recycling brokerage services are included within our Recycling Processing and Sales segment. All of the goodwill from our acquisition of Stericycle was provisionally assigned to the WM Healthcare Solutions segment. The assignment of goodwill to reporting units is not complete as of December 31, 2024. The following table presents changes in goodwill during the reported periods (in millions):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gridSpan w:val="6"/>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Collection and Disposal</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Recycling</w:t>
            </w:r>
          </w:p>
        </w:tc>
        <w:tc>
          <w:tcPr>
            <w:tcW w:w="140" w:type="dxa"/>
            <w:vAlign w:val="bottom"/>
          </w:tcPr>
          <w:p>
            <w:pPr>
              <w:spacing w:after="0"/>
              <w:rPr>
                <w:sz w:val="13"/>
                <w:szCs w:val="13"/>
                <w:color w:val="auto"/>
              </w:rPr>
            </w:pP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WM</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East Tier</w:t>
            </w:r>
          </w:p>
        </w:tc>
        <w:tc>
          <w:tcPr>
            <w:tcW w:w="8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West Tier</w:t>
            </w:r>
          </w:p>
        </w:tc>
        <w:tc>
          <w:tcPr>
            <w:tcW w:w="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Other Ancillary</w:t>
            </w:r>
          </w:p>
        </w:tc>
        <w:tc>
          <w:tcPr>
            <w:tcW w:w="160" w:type="dxa"/>
            <w:vAlign w:val="bottom"/>
          </w:tcPr>
          <w:p>
            <w:pPr>
              <w:spacing w:after="0"/>
              <w:rPr>
                <w:sz w:val="12"/>
                <w:szCs w:val="12"/>
                <w:color w:val="auto"/>
              </w:rPr>
            </w:pPr>
          </w:p>
        </w:tc>
        <w:tc>
          <w:tcPr>
            <w:tcW w:w="80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and Sales</w:t>
            </w:r>
          </w:p>
        </w:tc>
        <w:tc>
          <w:tcPr>
            <w:tcW w:w="84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5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goodwill</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Divested goodwill</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16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goodwill</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Divested goodwill</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440" w:top="607" w:right="1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120"/>
          </w:cols>
          <w:pgMar w:left="1440" w:top="607" w:right="1339"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other intangible assets consisted of the following as of December 31 (in millions):</w:t>
      </w: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Trade names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Covenants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Licenses,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and Supplier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Not-to-</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Permits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Compete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80" w:type="dxa"/>
            <w:vAlign w:val="bottom"/>
          </w:tcPr>
          <w:p>
            <w:pPr>
              <w:spacing w:after="0"/>
              <w:rPr>
                <w:sz w:val="18"/>
                <w:szCs w:val="18"/>
                <w:color w:val="auto"/>
              </w:rPr>
            </w:pP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49"/>
        </w:trPr>
        <w:tc>
          <w:tcPr>
            <w:tcW w:w="28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0" w:type="dxa"/>
            <w:vAlign w:val="bottom"/>
          </w:tcPr>
          <w:p>
            <w:pPr>
              <w:spacing w:after="0"/>
              <w:rPr>
                <w:sz w:val="1"/>
                <w:szCs w:val="1"/>
                <w:color w:val="auto"/>
              </w:rPr>
            </w:pPr>
          </w:p>
        </w:tc>
      </w:tr>
      <w:tr>
        <w:trPr>
          <w:trHeight w:val="197"/>
        </w:trPr>
        <w:tc>
          <w:tcPr>
            <w:tcW w:w="2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18"/>
                <w:szCs w:val="18"/>
                <w:color w:val="auto"/>
              </w:rPr>
            </w:pP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0"/>
        </w:trPr>
        <w:tc>
          <w:tcPr>
            <w:tcW w:w="2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Amortization expense for other intangible assets was $180 million, $129 million and $129 million for 2024, 2023 and 2022, respectively. Additional information related to other intangible assets acquired through business combinations is included in Note 17. As of December 31, 2024 and 2023, we had $970 million and $21 million, respectively, of indefinite lived trade names, licenses, permits and other intangible assets that are not subject to amortization because they do not have stated expirations or have routine, administrative renewal processes. As of December 31, 2024, we expect annual amortization expense related to other intangible assets to be $448 million in 2025, $405 million in 2026, $300 million in 2027, $267 million in 2028 and $220 million in 2029. See Note 17 for additional information related to intangibles acquired from our acquisitions.</w:t>
      </w:r>
    </w:p>
    <w:p>
      <w:pPr>
        <w:spacing w:after="0" w:line="215" w:lineRule="exact"/>
        <w:rPr>
          <w:sz w:val="20"/>
          <w:szCs w:val="20"/>
          <w:color w:val="auto"/>
        </w:rPr>
      </w:pPr>
    </w:p>
    <w:p>
      <w:pPr>
        <w:ind w:left="360" w:hanging="310"/>
        <w:spacing w:after="0"/>
        <w:tabs>
          <w:tab w:leader="none" w:pos="3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and Derivatives</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debt at principal amounts as of each balance sheet date (in millions) and provides the maturities and interest rate ranges of each major category as of December 31:</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45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8"/>
        </w:trPr>
        <w:tc>
          <w:tcPr>
            <w:tcW w:w="20" w:type="dxa"/>
            <w:vAlign w:val="bottom"/>
          </w:tcPr>
          <w:p>
            <w:pPr>
              <w:spacing w:after="0"/>
              <w:rPr>
                <w:sz w:val="15"/>
                <w:szCs w:val="15"/>
                <w:color w:val="auto"/>
              </w:rPr>
            </w:pPr>
          </w:p>
        </w:tc>
        <w:tc>
          <w:tcPr>
            <w:tcW w:w="674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Commercial paper program (weighted average interest rate of 4.7% as of</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 and 5.6% as of December 31, 2023)</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198"/>
        </w:trPr>
        <w:tc>
          <w:tcPr>
            <w:tcW w:w="20" w:type="dxa"/>
            <w:vAlign w:val="bottom"/>
          </w:tcPr>
          <w:p>
            <w:pPr>
              <w:spacing w:after="0"/>
              <w:rPr>
                <w:sz w:val="17"/>
                <w:szCs w:val="17"/>
                <w:color w:val="auto"/>
              </w:rPr>
            </w:pPr>
          </w:p>
        </w:tc>
        <w:tc>
          <w:tcPr>
            <w:tcW w:w="6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Senior notes, maturing through 2054, interest rates ranging from 0.75% to 7.75% (weighted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4"/>
        </w:trPr>
        <w:tc>
          <w:tcPr>
            <w:tcW w:w="6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average interest rate of 4.2% as of December 31, 2024 and 3.7% as of December 31, 2023)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11,376</w:t>
            </w: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senior notes, C$500 million maturing September 2026, interest rate of 2.6%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198"/>
        </w:trPr>
        <w:tc>
          <w:tcPr>
            <w:tcW w:w="20" w:type="dxa"/>
            <w:vAlign w:val="bottom"/>
          </w:tcPr>
          <w:p>
            <w:pPr>
              <w:spacing w:after="0"/>
              <w:rPr>
                <w:sz w:val="17"/>
                <w:szCs w:val="17"/>
                <w:color w:val="auto"/>
              </w:rPr>
            </w:pPr>
          </w:p>
        </w:tc>
        <w:tc>
          <w:tcPr>
            <w:tcW w:w="6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Tax-exempt bonds, maturing through 2053, fixed and variable interest rates ranging from</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6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0.70% to 4.80% (weighted average interest rate of 3.7% as of December 31, 2024 and 3.3%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6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r>
      <w:tr>
        <w:trPr>
          <w:trHeight w:val="198"/>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leases and other, maturing through 2082 (weighted average interest rate of 4.9%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2024 and 5.0% as of December 31, 2023) (a)</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20" w:type="dxa"/>
            <w:vAlign w:val="bottom"/>
          </w:tcPr>
          <w:p>
            <w:pPr>
              <w:spacing w:after="0"/>
              <w:rPr>
                <w:sz w:val="18"/>
                <w:szCs w:val="18"/>
                <w:color w:val="auto"/>
              </w:rPr>
            </w:pPr>
          </w:p>
        </w:tc>
        <w:tc>
          <w:tcPr>
            <w:tcW w:w="6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Debt issuance costs, discounts and other</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16,229</w:t>
            </w:r>
          </w:p>
        </w:tc>
      </w:tr>
      <w:tr>
        <w:trPr>
          <w:trHeight w:val="216"/>
        </w:trPr>
        <w:tc>
          <w:tcPr>
            <w:tcW w:w="20" w:type="dxa"/>
            <w:vAlign w:val="bottom"/>
          </w:tcPr>
          <w:p>
            <w:pPr>
              <w:spacing w:after="0"/>
              <w:rPr>
                <w:sz w:val="18"/>
                <w:szCs w:val="18"/>
                <w:color w:val="auto"/>
              </w:rPr>
            </w:pPr>
          </w:p>
        </w:tc>
        <w:tc>
          <w:tcPr>
            <w:tcW w:w="6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10"/>
        </w:trPr>
        <w:tc>
          <w:tcPr>
            <w:tcW w:w="20" w:type="dxa"/>
            <w:vAlign w:val="bottom"/>
          </w:tcPr>
          <w:p>
            <w:pPr>
              <w:spacing w:after="0"/>
              <w:rPr>
                <w:sz w:val="18"/>
                <w:szCs w:val="18"/>
                <w:color w:val="auto"/>
              </w:rPr>
            </w:pP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22,541</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r>
    </w:tbl>
    <w:p>
      <w:pPr>
        <w:spacing w:after="0" w:line="63" w:lineRule="exact"/>
        <w:rPr>
          <w:sz w:val="20"/>
          <w:szCs w:val="20"/>
          <w:color w:val="auto"/>
        </w:rPr>
      </w:pPr>
    </w:p>
    <w:p>
      <w:pPr>
        <w:ind w:left="380" w:right="79" w:hanging="330"/>
        <w:spacing w:after="0" w:line="282" w:lineRule="auto"/>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our landfill financing leases, the maturities of our financing leases and other debt obligations extend through 2059.</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Classification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2024, we had approximately $4.0 billion of debt maturing within the next 12 months, including</w:t>
      </w:r>
    </w:p>
    <w:p>
      <w:pPr>
        <w:spacing w:after="0" w:line="27" w:lineRule="exact"/>
        <w:rPr>
          <w:sz w:val="20"/>
          <w:szCs w:val="20"/>
          <w:color w:val="auto"/>
        </w:rPr>
      </w:pPr>
    </w:p>
    <w:p>
      <w:pPr>
        <w:jc w:val="both"/>
        <w:ind w:left="60" w:right="59" w:hanging="10"/>
        <w:spacing w:after="0" w:line="251" w:lineRule="auto"/>
        <w:tabs>
          <w:tab w:leader="none" w:pos="28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billion of tax-exempt bonds with term interest rate periods that expire within the next 12 months, which is prior to their scheduled maturities; (ii) $1.2 billion of short-term borrowings under our commercial paper program (net of related discount on issuance); (iii) $422 million of 3.125% senior notes that mature in March 2025; (iv) $500 million of 0.750% senior notes that mature in November 2025 and (v) $438 million of other debt with scheduled maturities within the next 12 months, including $298 million of tax-exempt bonds. As of December 31, 2024, we have classified $2.6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The remaining $1.4 billion of debt maturing in the next 12 months is classified as current obligations.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Access to and Utilization of Credit Facilities, Term Credit Agreement and Commercial Paper Program</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 Credit Agreement up to $7.2 Billion — </w:t>
      </w:r>
      <w:r>
        <w:rPr>
          <w:rFonts w:ascii="Times New Roman" w:cs="Times New Roman" w:eastAsia="Times New Roman" w:hAnsi="Times New Roman"/>
          <w:sz w:val="18"/>
          <w:szCs w:val="18"/>
          <w:color w:val="auto"/>
        </w:rPr>
        <w:t>On August 28, 2024, the Company entered into a delayed draw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in a principal amount of up to $7.2 billion (the “Term Credit Agreement”). In October 2024, we drew $5.2 billion of borrowings under the Term Credit Agreement that were applied to funding our acquisition of Stericycle. In November 2024, we repaid all outstanding borrowings and contemporaneously terminated the Term Credit Agreement.</w:t>
      </w:r>
    </w:p>
    <w:p>
      <w:pPr>
        <w:spacing w:after="0" w:line="180" w:lineRule="exact"/>
        <w:rPr>
          <w:sz w:val="20"/>
          <w:szCs w:val="20"/>
          <w:color w:val="auto"/>
        </w:rPr>
      </w:pPr>
    </w:p>
    <w:p>
      <w:pPr>
        <w:jc w:val="both"/>
        <w:ind w:left="60" w:right="59" w:firstLine="13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$3.5 Billion Revolving Credit Facility — </w:t>
      </w:r>
      <w:r>
        <w:rPr>
          <w:rFonts w:ascii="Times New Roman" w:cs="Times New Roman" w:eastAsia="Times New Roman" w:hAnsi="Times New Roman"/>
          <w:sz w:val="18"/>
          <w:szCs w:val="18"/>
          <w:color w:val="auto"/>
        </w:rPr>
        <w:t>In May 2024, we amended and restated our $3.5 billion U.S. and Canadian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credit facility, extending the term through May 2029. The agreement includes a $1.0 billion accordion feature that may be used to increase total capacity in future periods, and we have the option to request up to two one-year extensions. Waste Management of Canada Corporation and WM Quebec Inc., each an indirect wholly-owned subsidiary of WMI, are borrowers under the $3.5 billion revolving credit facility, and the agreement permits borrowing in Canadian dollars up to the U.S. dollar equivalent of $375 million, with such borrowings to be repaid in Canadian dollars. WM Holdings, Inc. (“WM Holdings”), a wholly-owned subsidiary of WMI, guarantees all the obligations under the $3.5 billion revolving credit facility.</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$3.5 billion revolving credit facility provides us with credit capacity to be used for cash borrowings, to support letters of credit and to support our commercial paper program. The interest rates we pay on outstanding U.S. or Canadian loans are based on a secured overnight financing rate administered by the Federal Reserve Bank of New York (“SOFR”) or the Canadian Overnight Repo Rate Average (“CORRA”) administered by the Bank of Canada, respectively, plus a spread depending on our senior public debt rating assigned by Moody’s Investors Service, Inc. and Standard and Poor’s Global Ratings. The spread above SOFR or CORRA can range from 0.585% to 1.025% per annum, plus applicable credit adjustments. We also pay certain other fees set forth in the $3.5 billion revolving credit facility agreement, including a facility fee based on the aggregate commitment, regardless of usage. As of December 31, 2024, we had no outstanding borrowings under this facility. We had $1.2 billion of outstanding borrowings (net of related discount on issuance) under our commercial paper program and $224 million of letters of credit issued, both supported by the facility, leaving unused and available credit capacity of $2.1 billion as of December 31, 2024.</w:t>
      </w:r>
    </w:p>
    <w:p>
      <w:pPr>
        <w:spacing w:after="0" w:line="19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We have a commercial paper program that enables us to borrow funds for up to 397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at competitive interest rates. The rates we pay for outstanding borrowings are based on the term of the notes. The commercial paper program is fully supported by our $3.5 billion revolving credit facility. As of December 31, 2024, we had $1.2 billion of outstanding borrowings (net of related discount on issuance) under our commercial paper program.</w:t>
      </w:r>
    </w:p>
    <w:p>
      <w:pPr>
        <w:spacing w:after="0" w:line="180"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Letter of Credit Lines — </w:t>
      </w:r>
      <w:r>
        <w:rPr>
          <w:rFonts w:ascii="Times New Roman" w:cs="Times New Roman" w:eastAsia="Times New Roman" w:hAnsi="Times New Roman"/>
          <w:sz w:val="18"/>
          <w:szCs w:val="18"/>
          <w:color w:val="auto"/>
        </w:rPr>
        <w:t>As of December 31, 2024, we had utilized $862 million of other uncommitted letter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lines with terms extending through December 2028.</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Borrowings and Repayments</w:t>
      </w:r>
    </w:p>
    <w:p>
      <w:pPr>
        <w:spacing w:after="0" w:line="227"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During the year ended December 31, 2024 we made cash repayments of $12.3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were partially offset by $12.7 billion of cash borrowings (net of related discount on issuance). A portion of these borrowings were repaid with proceeds from our senior notes issuances discussed below.</w:t>
      </w:r>
    </w:p>
    <w:p>
      <w:pPr>
        <w:spacing w:after="0" w:line="173"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 In July 2024, WMI issued $750 million of 4.950% senior notes due July 2027 and $750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4.950% notes due July 2031, the net proceeds of which were $1.49 billion. The net proceeds were used primarily to reduce outstanding borrowings under our commercial paper program. We also repaid $156 million of WMI’s 3.500% senior notes upon maturity in May 2024.</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November 2024, we issued senior notes, the net proceeds of which were approximately $5.2 billion, consisting of</w:t>
      </w:r>
    </w:p>
    <w:p>
      <w:pPr>
        <w:spacing w:after="0" w:line="16" w:lineRule="exact"/>
        <w:rPr>
          <w:sz w:val="20"/>
          <w:szCs w:val="20"/>
          <w:color w:val="auto"/>
        </w:rPr>
      </w:pPr>
    </w:p>
    <w:p>
      <w:pPr>
        <w:jc w:val="both"/>
        <w:ind w:left="60" w:right="59" w:hanging="10"/>
        <w:spacing w:after="0" w:line="238" w:lineRule="auto"/>
        <w:tabs>
          <w:tab w:leader="none" w:pos="29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of 4.500% senior notes due March 2028; (ii) $700 million of 4.650% senior notes due March 2030; (iii) $750 million of 4.800% senior notes due March 2032; (iv) $1.5 billion of 4.950% senior notes due March 2035 and (v) $1.25 billion of 5.350% senior notes due October 2054. We used the net proceeds to repay all outstanding borrowing under the Term Credit Agreement.</w:t>
      </w:r>
    </w:p>
    <w:p>
      <w:pPr>
        <w:spacing w:after="0" w:line="16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 Credit Agreement </w:t>
      </w:r>
      <w:r>
        <w:rPr>
          <w:rFonts w:ascii="Times New Roman" w:cs="Times New Roman" w:eastAsia="Times New Roman" w:hAnsi="Times New Roman"/>
          <w:sz w:val="18"/>
          <w:szCs w:val="18"/>
          <w:color w:val="auto"/>
        </w:rPr>
        <w:t>- In October 2024, we drew $5.2 billion of borrowings under the Term Credit Agreement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applied to funding our acquisition of Stericycle. In November 2024, we repaid all outstanding borrowings with net proceeds from our November 2024 issuance of $5.2 billion of senior notes and contemporaneously terminated the Term Credit Agreement, resulting in a $7 million loss on early extinguishment of debt.</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Stericycle Exchange Offer and Consent Solicitation </w:t>
      </w:r>
      <w:r>
        <w:rPr>
          <w:rFonts w:ascii="Times New Roman" w:cs="Times New Roman" w:eastAsia="Times New Roman" w:hAnsi="Times New Roman"/>
          <w:sz w:val="18"/>
          <w:szCs w:val="18"/>
          <w:color w:val="auto"/>
        </w:rPr>
        <w:t>– On November 8, 2024, we completed our private offer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holders to exchange $500 million of outstanding 3.875% senior notes issued by Stericycle (the “Stericycle Notes”) for new notes issued by us (the “WM Notes”) and cash. The WM Notes have the same interest rate, interest payment dates, and maturity date as the exchanged Stericycle Notes but differ in certain respects from the Stericycle Notes, including with respect to the redemption provisions. Approximately $485 million in aggregate principal amount of the Stericycle Notes, or 97%, were tendered and accepted, and new WM Notes were issued. The portion of Stericycle Notes not exchanged, approximately $15 million, remains an outstanding obligation of Stericycle, our wholly-owned subsidiary. The debt exchange is accounted for as a modification of debt, as the financial terms of the WM Notes do not differ from the Stericycle Notes, and there is no substantial difference between the present value of cash flows under each respective set of notes. In connection with the exchange offer, we solicited and obtained sufficient consents to amend the Stericycle Notes and related indenture to eliminate substantially all the restrictive covenants, restrictive provisions and events of default, other than payment-related, guarantee-related and bankruptcy-related events of default, and such amendments took effect with respect to the remaining Stericycle Notes on November 8, 2024.</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Tax-Exempt Bonds — </w:t>
      </w:r>
      <w:r>
        <w:rPr>
          <w:rFonts w:ascii="Times New Roman" w:cs="Times New Roman" w:eastAsia="Times New Roman" w:hAnsi="Times New Roman"/>
          <w:sz w:val="18"/>
          <w:szCs w:val="18"/>
          <w:color w:val="auto"/>
        </w:rPr>
        <w:t>We issued $50 million of tax-exempt bonds in 2024. The proceeds from the issuance of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bonds were deposited directly into a restricted trust fund to be used for the specific purpose for which the money was raised, which is generally to finance expenditures for solid waste disposal, recycling and renewable natural gas facility construction and development. In 2024, we also repaid $60 million of our tax-exempt bonds with available cash at their scheduled maturities.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Leases and Other — </w:t>
      </w:r>
      <w:r>
        <w:rPr>
          <w:rFonts w:ascii="Times New Roman" w:cs="Times New Roman" w:eastAsia="Times New Roman" w:hAnsi="Times New Roman"/>
          <w:sz w:val="18"/>
          <w:szCs w:val="18"/>
          <w:color w:val="auto"/>
        </w:rPr>
        <w:t>The increase in our financing leases and other debt obligations in 2024 are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(i) a note payable associated with our low-income housing investment discussed in Note 8, which increased our debt obligations by $316 million and (ii) $153 million primarily related to non-cash financing leases. The increase in our debt obligations was partially offset by $135 million of cash repayments of debt at maturity.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Scheduled Debt Payments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Principal payments of our debt for the next five years and thereafter, based on scheduled maturities are as follows: $2,613 million in 2025, $747 million in 2026, $2,022 million in 2027, $1,969 million in 2028, $2,048 million in 2029 and $14,680 million thereafter. Our recorded debt and financing lease obligations include non-cash adjustments associated with debt issuance costs, discounts and fair value adjustments attributable to terminated interest rate derivatives, which have been excluded from these amounts because they will not result in cash payments. As discussed above, we have the intent and ability to refinance our commercial paper borrowings on a long-term basis. See Note 7 below for further discussion of our financing lease arrangements.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Secured Debt</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Our debt balances are generally unsecured, except for financing lease obligations and the notes payable associated with our investments in low-income housing properties. See Notes 8 and 18 for additional information related to these investments.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terms of certain of our financing arrangements require that we comply with financial and other covenants. Our most restrictive financial covenant is the one contained in our $3.5 billion revolving credit facility, which sets forth a maximum total debt to consolidated earnings before interest, taxes, depreciation, depletion and amortization ratio (the “Leverage Ratio”). This covenant requires that the Leverage Ratio for the preceding four fiscal quarters will not be more than 3.75 to 1, provided that if an acquisition permitted under the $3.5 billion revolving credit facility involving aggregate consideration in excess of $200 million occurs during the fiscal quarter, the Company shall have the right to increase the Leverage Ratio to 4.25 to 1 during such fiscal quarter and for the following three fiscal quarters (the “Elevated Leverage Ratio Period”). Given the strength of the Company’s financial position and its expectation to maintain headroom within the Leverage Ratio, the Company has not elected to increase the Leverage Ratio for an Elevated Leverage Ratio Period in connection with the acquisition of Stericycle. There shall be no more than two Elevated Leverage Ratio Periods during the term of the $3.5 billion revolving credit facility, and the Leverage Ratio must return to 3.75 to 1 for at least one fiscal quarter between Elevated Leverage Ratio Periods. The calculation of all components used in the Leverage Ratio covenant are as defined in the $3.5 billion revolving credit facility. As of December 31, 2024 and 2023, we were in compliance with our Leverage Ratio covenant.</w:t>
      </w:r>
    </w:p>
    <w:p>
      <w:pPr>
        <w:spacing w:after="0" w:line="19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$3.5 billion revolving credit facility, senior notes and other financing arrangements also contain certain restrictions on the ability of the Company’s subsidiaries to incur additional indebtedness as well as restrictions on the ability of the Company and its subsidiaries to, among other things, incur liens, engage in sale-leaseback transactions and engage in mergers and consolidations. We monitor our compliance with these restrictions, but do not believe that they significantly impact our ability to enter into investing or financing arrangements typical for our business. As of December 31, 2024 and 2023, we were in compliance with all covenants and restrictions under our financing arrangements, in addition to our Leverage Ratio covenant, that may have a material effect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order to secure underlying interest rates associated with senior note issuances, we entered into treasury lock transactions during 2024 to (i) fix the ten-year treasury rate on an aggregate notional amount of $900 million and (ii) to fix the thirty-year treasury rate on an aggregate notional amount of $650 million. We designated our treasury locks as cash flow hedges. These treasury rate locks were terminated contemporaneously with the related issuances of senior notes in November 2024, and we received cash of $35 million to settle the related assets. The deferred gains are being amortized from accumulated other comprehensive (loss) income to interest expense over the ten-year and thirty-year lives of the related senior notes issuances using the effective interest method. Additionally, although not material to our financial statements, we do periodically enter into natural gas hedges to mitigate against risk from fluctuation in natural gas prices. As of December 31, 2024, our outstanding natural gas hedges were immaterial.</w:t>
      </w:r>
    </w:p>
    <w:p>
      <w:pPr>
        <w:spacing w:after="0" w:line="184" w:lineRule="exact"/>
        <w:rPr>
          <w:sz w:val="20"/>
          <w:szCs w:val="20"/>
          <w:color w:val="auto"/>
        </w:rPr>
      </w:pPr>
    </w:p>
    <w:p>
      <w:pPr>
        <w:ind w:left="360" w:hanging="310"/>
        <w:spacing w:after="0"/>
        <w:tabs>
          <w:tab w:leader="none" w:pos="3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operating lease activities primarily consist of leases for real estate, landfills (as discussed further in Note 2), fleet vehicles and operating equipment. Our financing lease activities primarily consist of leases for operating equipment, railcars and landfill assets. Leases with an initial term of 12 months or less, which are not expected to be renewed beyond one year, are not recorded on the balance sheet and are recognized as lease expense on a straight-line basis over the lease term. Most leases include one or more options to renew, with renewal terms generally ranging from one to 10 years. The exercise of lease renewal options is generally at our sole discretion. We include the renewal term in the calculation of the right-of-use asset and related lease liability when such renewals are reasonably certain of being exercised. Certain leases also include options to purchase the leased property. The depreciable life of assets and leasehold improvements is limited by the expected lease term, unless there is a transfer of title or purchase option reasonably certain of exercise. Certain of our lease agreements include rental payments based on usage, and other lease agreements include rental payments adjusted periodically for inflation; these payments are treated as variable lease payments. Our lease agreements do not contain any material residual value guarantees or material restrictive covenants.</w:t>
      </w:r>
    </w:p>
    <w:p>
      <w:pPr>
        <w:spacing w:after="0" w:line="19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When the implicit interest rate is not readily available for our leases, we discount future cash flows of the remaining lease payments using the current interest rate that would be paid to borrow on collateralized debt over a similar term, or incremental borrowing rate, at the commencement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Supplemental balance sheet information for our leases as of December 31 is as follows (in millions):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48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84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6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198"/>
        </w:trPr>
        <w:tc>
          <w:tcPr>
            <w:tcW w:w="248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Financing</w:t>
            </w:r>
          </w:p>
        </w:tc>
        <w:tc>
          <w:tcPr>
            <w:tcW w:w="3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22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8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depletion</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09"/>
        </w:trPr>
        <w:tc>
          <w:tcPr>
            <w:tcW w:w="2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assets</w:t>
            </w:r>
          </w:p>
        </w:tc>
        <w:tc>
          <w:tcPr>
            <w:tcW w:w="35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0"/>
        </w:trPr>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2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2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3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30"/>
        </w:trPr>
        <w:tc>
          <w:tcPr>
            <w:tcW w:w="2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w:t>
            </w: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09"/>
        </w:trPr>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0"/>
        </w:trPr>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Operating lease expense was $264 million, $189 million and $183 million during 2024, 2023 and 2022, respectively, and is included in operating and selling, general and administrative expenses in our Consolidated Statements of Operations. Financing lease expense was $73 million, $58 million and $55 million during 2024, 2023 and 2022, respectively, and is included in depreciation, depletion and amortization expense and interest expense, net in our Consolidated Statements of Operations.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Minimum contractual obligations for our leases (undiscounted) as of December 31, 2024 are as follows (in millions):</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00" w:type="dxa"/>
            <w:vAlign w:val="bottom"/>
          </w:tcPr>
          <w:p>
            <w:pPr>
              <w:spacing w:after="0"/>
              <w:rPr>
                <w:sz w:val="15"/>
                <w:szCs w:val="15"/>
                <w:color w:val="auto"/>
              </w:rPr>
            </w:pPr>
          </w:p>
        </w:tc>
        <w:tc>
          <w:tcPr>
            <w:tcW w:w="13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Financing</w:t>
            </w: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3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3"/>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3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80" w:type="dxa"/>
            <w:vAlign w:val="bottom"/>
          </w:tcPr>
          <w:p>
            <w:pPr>
              <w:spacing w:after="0"/>
              <w:rPr>
                <w:sz w:val="21"/>
                <w:szCs w:val="21"/>
                <w:color w:val="auto"/>
              </w:rPr>
            </w:pPr>
          </w:p>
        </w:tc>
        <w:tc>
          <w:tcPr>
            <w:tcW w:w="1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(256)</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09"/>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lease liabilities</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0"/>
        </w:trPr>
        <w:tc>
          <w:tcPr>
            <w:tcW w:w="5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we entered into operating leases, primarily for real estate that have not yet commenced and therefore are not reflected in the table above, with future lease payments of $73 million. These leases commence through 2025 and have lease terms up to 16 years.</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Cash paid during 2024 for our operating and financing leases was $103 million and $90 million, respectively. Cash paid during 2023 for our operating and financing leases was $77 million and $60 million, respectively. During 2024, right-of-use assets obtained in exchange for lease obligations for our operating and financing leases were $74 million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$118 million, respectively. During 2023, right-of-use assets obtained in exchange for lease obligations for our operating and financing leases were $62 million and $121 million, respectively.</w:t>
      </w:r>
    </w:p>
    <w:p>
      <w:pPr>
        <w:spacing w:after="0" w:line="162" w:lineRule="exact"/>
        <w:rPr>
          <w:sz w:val="20"/>
          <w:szCs w:val="20"/>
          <w:color w:val="auto"/>
        </w:rPr>
      </w:pPr>
    </w:p>
    <w:p>
      <w:pPr>
        <w:jc w:val="both"/>
        <w:ind w:left="60" w:right="59" w:firstLine="324"/>
        <w:spacing w:after="0" w:line="289" w:lineRule="auto"/>
        <w:rPr>
          <w:sz w:val="20"/>
          <w:szCs w:val="20"/>
          <w:color w:val="auto"/>
        </w:rPr>
      </w:pPr>
      <w:r>
        <w:rPr>
          <w:rFonts w:ascii="Times New Roman" w:cs="Times New Roman" w:eastAsia="Times New Roman" w:hAnsi="Times New Roman"/>
          <w:sz w:val="17"/>
          <w:szCs w:val="17"/>
          <w:color w:val="auto"/>
        </w:rPr>
        <w:t>As of December 31, 2024, the weighted average remaining lease terms of our operating and financing leases were approximately 12 years and 11 years, respectively. The weighted average discount rates used to determine the lease liabilities as of December 31, 2024 for our operating and financing leases were approximately 4.3% and 4.6%, respectively.</w:t>
      </w:r>
    </w:p>
    <w:p>
      <w:pPr>
        <w:spacing w:after="0" w:line="181" w:lineRule="exact"/>
        <w:rPr>
          <w:sz w:val="20"/>
          <w:szCs w:val="20"/>
          <w:color w:val="auto"/>
        </w:rPr>
      </w:pPr>
    </w:p>
    <w:p>
      <w:pPr>
        <w:ind w:left="360" w:hanging="310"/>
        <w:spacing w:after="0"/>
        <w:tabs>
          <w:tab w:leader="none" w:pos="3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income tax expense consisted of the following for the year ended December 31 (in millions):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82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16"/>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3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2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9"/>
        </w:trPr>
        <w:tc>
          <w:tcPr>
            <w:tcW w:w="38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0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2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3820" w:type="dxa"/>
            <w:vAlign w:val="bottom"/>
            <w:tcBorders>
              <w:bottom w:val="single" w:sz="8" w:color="CCEEFF"/>
            </w:tcBorders>
          </w:tcPr>
          <w:p>
            <w:pPr>
              <w:spacing w:after="0"/>
              <w:rPr>
                <w:sz w:val="18"/>
                <w:szCs w:val="18"/>
                <w:color w:val="auto"/>
              </w:rPr>
            </w:pPr>
          </w:p>
        </w:tc>
        <w:tc>
          <w:tcPr>
            <w:tcW w:w="2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9"/>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0"/>
        </w:trPr>
        <w:tc>
          <w:tcPr>
            <w:tcW w:w="3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U.S. federal statutory income tax rate is reconciled to the effective income tax rate for the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as follows: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9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r>
      <w:tr>
        <w:trPr>
          <w:trHeight w:val="20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 U.S. federal statutory rate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 benefit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Adoption of new accounting standard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Federal tax credits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Taxing authority audit settlements and other tax adjustments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Tax impact of equity-based compensation transactions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 of impairments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Tax rate differential on foreign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0"/>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comparability of our income tax expense for the reported periods has been primarily affected by (i) federal tax credits; (ii) variations in our income before income taxes; (iii) impacts on adopting Accounting Standards Updates (“ASU”) 2023-02 and (iv) the tax implications of impairments.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financial reporting purposes, income before income taxes by source for the year ended December 31 was as follows (in millions):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16"/>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09"/>
        </w:trPr>
        <w:tc>
          <w:tcPr>
            <w:tcW w:w="6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Renewable Natural Gas — </w:t>
      </w:r>
      <w:r>
        <w:rPr>
          <w:rFonts w:ascii="Times New Roman" w:cs="Times New Roman" w:eastAsia="Times New Roman" w:hAnsi="Times New Roman"/>
          <w:sz w:val="18"/>
          <w:szCs w:val="18"/>
          <w:color w:val="auto"/>
        </w:rPr>
        <w:t>Through our subsidiaries, including our WM Renewable Energy segment, we have invested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building landfill gas-to-energy facilities in the U.S. and Canada that produce renewable electricity and RNG. We expect our new RNG facilities to qualify for federal tax credits and to realize those credits through 2027 under Sections 48 and 45Z of the Internal Revenue Code. We completed construction of five RNG facilities in 2024 and one RNG facility in 2023, resulting in a reduction to our income tax expense of $137 million and $8 million, respectively for investment tax credits under Section 48.</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Low-Income Housing — </w:t>
      </w:r>
      <w:r>
        <w:rPr>
          <w:rFonts w:ascii="Times New Roman" w:cs="Times New Roman" w:eastAsia="Times New Roman" w:hAnsi="Times New Roman"/>
          <w:sz w:val="18"/>
          <w:szCs w:val="18"/>
          <w:color w:val="auto"/>
        </w:rPr>
        <w:t>We have significant financial interests in entities established to invest in and manage low-income housing properties. In October 2024, we acquired an additional noncontrolling interest in a limited liability company established to invest in and manage low-income housing properties. Total consideration for this investment is expected to be $426 million, comprised of a $316 million note payable, an initial cash payment of $33 million and $77 million of interest payments expected to be paid over the life of the investment. At the time of the investment, we increased our investments in unconsolidated entities in our Consolidated Balance Sheet by $349 million, representing the principal balance of the note and the initial cash payment. We support the operations of these entities in exchange for a pro-rata share of the tax credits they generate. The low-income housing investments qualify for federal tax credits that we expect to realize through 2036 under Section 42 or Section 45D of the Internal Revenue Code.</w:t>
      </w:r>
    </w:p>
    <w:p>
      <w:pPr>
        <w:spacing w:after="0" w:line="19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a result of adopting ASU 2023-02, we amortize our investments in these entities using the proportional amortization method. Under the proportional amortization method, the equity investment is amortized in proportion to the income tax credits and other income tax benefits received. The amortization expense and the income tax credits are required to be presented on a net basis in income tax expense on the Consolidated Statements of Operations. Prior to fiscal year 2024, we accounted for our investments in these entities using the equity method of accounting, recognizing our share of each entity’s results of operations and other reductions in the value of our investments in equity in net income (losses) of unconsolidated entities, within our Consolidated Statements of Operations.</w:t>
      </w:r>
    </w:p>
    <w:p>
      <w:pPr>
        <w:spacing w:after="0" w:line="189" w:lineRule="exact"/>
        <w:rPr>
          <w:sz w:val="20"/>
          <w:szCs w:val="20"/>
          <w:color w:val="auto"/>
        </w:rPr>
      </w:pPr>
    </w:p>
    <w:p>
      <w:pPr>
        <w:jc w:val="both"/>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we recognized additional income tax expense of $78 million, related to amortization under ASU 2023-02. For the years ended December 31, 2023 and 2022, we recognized net losses of $66 million and $65 million, respectively, and a reduction in our income tax expense of $104 million, $108 million and $99 million in 2024, 2023 and 2022, respectively, primarily due to federal tax credits realized from these investments as well as the tax benefits from the pre-tax losses realized. In addition, during the years ended December 31, 2024, 2023 and 2022, we recognized interest expense of $24 million, $15 million and $14 million, respectively, associated with our investments in low-income housing properties. See Note 18 for additional information related to these unconsolidated variable interest entities.</w:t>
      </w:r>
    </w:p>
    <w:p>
      <w:pPr>
        <w:spacing w:after="0" w:line="19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Tax Implications of Impairments </w:t>
      </w:r>
      <w:r>
        <w:rPr>
          <w:rFonts w:ascii="Calibri" w:cs="Calibri" w:eastAsia="Calibri" w:hAnsi="Calibri"/>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years ended December 31, 2024 and 2023, we recognized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expense of $14 million and $50 million, respectively, due to non-cash impairment charges that were not deductible for tax purposes in the year of impairment. The non-cash impairment charge recognized during 2022 was deductible for tax purposes. See Note 11 for more information related to our impairment charges.</w:t>
      </w:r>
    </w:p>
    <w:p>
      <w:pPr>
        <w:spacing w:after="0" w:line="179"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Audits — </w:t>
      </w:r>
      <w:r>
        <w:rPr>
          <w:rFonts w:ascii="Times New Roman" w:cs="Times New Roman" w:eastAsia="Times New Roman" w:hAnsi="Times New Roman"/>
          <w:sz w:val="18"/>
          <w:szCs w:val="18"/>
          <w:color w:val="auto"/>
        </w:rPr>
        <w:t>We participate in the IRS’s Compliance Assurance Process, which means we work with the IRS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the year towards resolving any material issues prior to the filing of our annual tax return. Any unresolved issues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In the fourth quarter of 2024, the Company filed a claim for refund of the entire amount deposited with the IRS. We expect to litigate any denial of the claim for refund. As of December 31, 2024 and 2023, the IRS deposit, net of reserve for uncertain tax positions, was classified as a component of other long-term assets in the Company’s Consolidated Balance Sheets.</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addition, we are in the examination phase of IRS audits for the 2023 and 2024 tax years and expect the audits to be completed within the next 15 months. We are also currently undergoing audits by the Canada Revenue Agency for the 2021 tax year and various state and local jurisdictions for tax years that date back to 2014.</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net deferred tax liabilities as of December 31 are as follows (in millions):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7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capital loss and tax credit carry-forwards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8"/>
                <w:szCs w:val="18"/>
                <w:color w:val="auto"/>
              </w:rPr>
            </w:pP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Landfill and environmental remediation liabilities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Miscellaneous and other reserves, net</w:t>
            </w:r>
          </w:p>
        </w:tc>
        <w:tc>
          <w:tcPr>
            <w:tcW w:w="1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9"/>
        </w:trPr>
        <w:tc>
          <w:tcPr>
            <w:tcW w:w="5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16"/>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16"/>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0"/>
        </w:trPr>
        <w:tc>
          <w:tcPr>
            <w:tcW w:w="5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0"/>
        </w:trPr>
        <w:tc>
          <w:tcPr>
            <w:tcW w:w="5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These net deferred tax liabilities are included as a component of other long-term assets, accrued liabilities and deferred income taxes in our Consolidated Balance Sheets. As of December 31, 2024, we had $123 million of international net operating loss carry-forwards with expiration dates through 2041 and $2.0 billion of state net operating loss carry-forwards with expiration dates through 2044. We also had $106 million of federal and foreign interest expense carry-forwards that do not expire, $40 million of foreign tax credit carry-forwards with expiration dates through 2033 and $6 million of state tax credit carry-forwards with expiration dates through 2034.</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have established valuation allowances for uncertainties in realizing the benefit of certain tax loss and credit carry-forwards and other deferred tax assets. While we expect to realize the deferred tax assets, net of the valuation allowances, changes in estimates of future taxable income or in tax laws may alter this expectation.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Liabilities for Uncertain Tax Positions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including accrued interest, is as follows (in millions):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These liabilities are included as a component of other long-term liabilities or as an offset to other long-term assets in our Consolidated Balance Sheets because the Company does not anticipate that settlement of the liabilities will require payment of cash within the next 12 months. As of December 31, 2024, we had $36 million of net unrecognized tax benefits that, if recognized in future periods, would impact our effective income tax rate.</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recognize interest expense related to unrecognized tax benefits in our income tax expense, which was not material for the reported periods. We did not have any material accrued liabilities or expense for penalties related to unrecognized tax benefits for the reported periods.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Employee Benefit Plans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Defined Contribution Plans — </w:t>
      </w:r>
      <w:r>
        <w:rPr>
          <w:rFonts w:ascii="Times New Roman" w:cs="Times New Roman" w:eastAsia="Times New Roman" w:hAnsi="Times New Roman"/>
          <w:sz w:val="18"/>
          <w:szCs w:val="18"/>
          <w:color w:val="auto"/>
        </w:rPr>
        <w:t>The Company sponsors a 401(k) retirement savings plan that covers employees,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working subject to collective bargaining agreements that do not provide for coverage under the plan. U.S. employees who are not subject to such collective bargaining agreements are generally eligible to participate in the plan following a 90-day waiting period after hire and may contribute as much as 50% of their eligible annual compensation and 80% of their annual incentive plan bonus, subject to annual contribution limitations established by the IRS. Under the 401(k) retirement savings plan, for non-union employees, we match 100% of employee contributions on the first 3% of their eligible annual compensation and 50% of employee contributions on the next 3% of their eligible annual compensation, resulting in a maximum match of 4.5% of eligible annual compensation. Non-union employees are automatically enrolled in the plan at a 3% contribution rate upon eligibility. Both employee and Company contributions are in cash and vest immediately. In connection with our acquisition of Stericycle in November 2024, we acquired a domestic defined contribution plan with attributes similar to our existing Waste Management 401(k) retirement savings plan.</w:t>
      </w:r>
    </w:p>
    <w:p>
      <w:pPr>
        <w:spacing w:after="0" w:line="19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Certain U.S. employees who are subject to collective bargaining agreements may participate in the 401(k) retirement savings plan under terms specified in their collective bargaining agreement. Certain employees outside the U.S., including those in Canada and across Europe, participate in defined contribution plans maintained by the Company in compliance with laws of the appropriate jurisdiction. Charges to operating and selling, general and administrative expenses for our defined contribution plans totaled $125 million, $118 million and $112 million for the years ended December 31, 2024, 2023 and 2022, respectively.</w:t>
      </w:r>
    </w:p>
    <w:p>
      <w:pPr>
        <w:spacing w:after="0" w:line="18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Defined Benefit Plans (other than multiemployer defined benefit pension plans discussed below) — </w:t>
      </w:r>
      <w:r>
        <w:rPr>
          <w:rFonts w:ascii="Times New Roman" w:cs="Times New Roman" w:eastAsia="Times New Roman" w:hAnsi="Times New Roman"/>
          <w:sz w:val="18"/>
          <w:szCs w:val="18"/>
          <w:color w:val="auto"/>
        </w:rPr>
        <w:t>WM Holdings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sponsors a defined benefit plan for certain employees who are subject to collective bargaining agreements that provide for participation in this plan. Further, certain of our Canadian subsidiaries sponsor defined benefit plans that are frozen to new participants. As of December 31, 2024, the combined benefit obligation of these pension plans was $115 million supported by $117 million of combined plan assets, resulting in an aggregate plan asset for these plans of $2 million. As 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December 31, 2023, the combined benefit obligation of these pension plans was $119 million supported by $118 million of combined plan assets, resulting in an aggregate unfunded benefit obligation for these plans of $1 million.</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addition, WM Holdings and certain of its subsidiaries provided post-retirement health care and other benefits to eligible retirees. In conjunction with our acquisition of WM Holdings in July 1998, we limited participation in these plans to participating retirees as of December 31, 1998. The unfunded benefit obligation for these plans was $7 million and $7 million as of December 31, 2024 and 2023, respectively.</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assets and accrued benefit liabilities for our defined benefit pension and other post-retirement plans are included as components of long-term other assets, accrued liabilities and long-term other liabilities in our Consolidated Balance Sheets.</w:t>
      </w:r>
    </w:p>
    <w:p>
      <w:pPr>
        <w:spacing w:after="0" w:line="17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Benefit Pension Plans — </w:t>
      </w:r>
      <w:r>
        <w:rPr>
          <w:rFonts w:ascii="Times New Roman" w:cs="Times New Roman" w:eastAsia="Times New Roman" w:hAnsi="Times New Roman"/>
          <w:sz w:val="18"/>
          <w:szCs w:val="18"/>
          <w:color w:val="auto"/>
        </w:rPr>
        <w:t>We are a participating employer in a number of trustee-managed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multiemployer defined benefit pension plans (“Multiemployer Pension Plans”) for employees who are covered by collective bargaining agreements. The risks of participating in these Multiemployer Pension Plans are different from single-employer plans in that (i) 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any of our Multiemployer Pension Plans, we may be required to pay those plans a withdrawal amount based on the underfunded status of the plan. The following table outlines our participation in Multiemployer Pension Plans considered to be individually significant (dollars in millions):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Expiration Date</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EIN/</w:t>
            </w:r>
          </w:p>
        </w:tc>
        <w:tc>
          <w:tcPr>
            <w:tcW w:w="1540" w:type="dxa"/>
            <w:vAlign w:val="bottom"/>
            <w:gridSpan w:val="4"/>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Pension Protection Act</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Company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of Collective</w:t>
            </w: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Pension Plan</w:t>
            </w:r>
          </w:p>
        </w:tc>
        <w:tc>
          <w:tcPr>
            <w:tcW w:w="154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Reported Status(a)</w:t>
            </w:r>
          </w:p>
        </w:tc>
        <w:tc>
          <w:tcPr>
            <w:tcW w:w="920" w:type="dxa"/>
            <w:vAlign w:val="bottom"/>
            <w:gridSpan w:val="3"/>
          </w:tcPr>
          <w:p>
            <w:pPr>
              <w:jc w:val="center"/>
              <w:ind w:right="208"/>
              <w:spacing w:after="0"/>
              <w:rPr>
                <w:sz w:val="20"/>
                <w:szCs w:val="20"/>
                <w:color w:val="auto"/>
              </w:rPr>
            </w:pPr>
            <w:r>
              <w:rPr>
                <w:rFonts w:ascii="Times New Roman" w:cs="Times New Roman" w:eastAsia="Times New Roman" w:hAnsi="Times New Roman"/>
                <w:sz w:val="13"/>
                <w:szCs w:val="13"/>
                <w:b w:val="1"/>
                <w:bCs w:val="1"/>
                <w:color w:val="auto"/>
              </w:rPr>
              <w:t>FIP/RP</w:t>
            </w:r>
          </w:p>
        </w:tc>
        <w:tc>
          <w:tcPr>
            <w:tcW w:w="420" w:type="dxa"/>
            <w:vAlign w:val="bottom"/>
          </w:tcPr>
          <w:p>
            <w:pPr>
              <w:spacing w:after="0"/>
              <w:rPr>
                <w:sz w:val="13"/>
                <w:szCs w:val="13"/>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Contributions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Bargaining</w:t>
            </w:r>
          </w:p>
        </w:tc>
        <w:tc>
          <w:tcPr>
            <w:tcW w:w="0" w:type="dxa"/>
            <w:vAlign w:val="bottom"/>
          </w:tcPr>
          <w:p>
            <w:pPr>
              <w:spacing w:after="0"/>
              <w:rPr>
                <w:sz w:val="1"/>
                <w:szCs w:val="1"/>
                <w:color w:val="auto"/>
              </w:rPr>
            </w:pPr>
          </w:p>
        </w:tc>
      </w:tr>
      <w:tr>
        <w:trPr>
          <w:trHeight w:val="128"/>
        </w:trPr>
        <w:tc>
          <w:tcPr>
            <w:tcW w:w="256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Pension Fund</w:t>
            </w:r>
          </w:p>
        </w:tc>
        <w:tc>
          <w:tcPr>
            <w:tcW w:w="140" w:type="dxa"/>
            <w:vAlign w:val="bottom"/>
          </w:tcPr>
          <w:p>
            <w:pPr>
              <w:spacing w:after="0"/>
              <w:rPr>
                <w:sz w:val="11"/>
                <w:szCs w:val="11"/>
                <w:color w:val="auto"/>
              </w:rPr>
            </w:pPr>
          </w:p>
        </w:tc>
        <w:tc>
          <w:tcPr>
            <w:tcW w:w="92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62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1"/>
                <w:szCs w:val="11"/>
                <w:color w:val="auto"/>
              </w:rPr>
            </w:pPr>
          </w:p>
        </w:tc>
        <w:tc>
          <w:tcPr>
            <w:tcW w:w="82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3"/>
                <w:szCs w:val="13"/>
                <w:b w:val="1"/>
                <w:bCs w:val="1"/>
                <w:color w:val="auto"/>
                <w:w w:val="95"/>
              </w:rPr>
              <w:t>Status(b)(c)</w:t>
            </w: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78"/>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ind w:right="38"/>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2023</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78"/>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2022</w:t>
            </w:r>
          </w:p>
        </w:tc>
        <w:tc>
          <w:tcPr>
            <w:tcW w:w="14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Agreement(s)</w:t>
            </w:r>
          </w:p>
        </w:tc>
        <w:tc>
          <w:tcPr>
            <w:tcW w:w="0" w:type="dxa"/>
            <w:vAlign w:val="bottom"/>
          </w:tcPr>
          <w:p>
            <w:pPr>
              <w:spacing w:after="0"/>
              <w:rPr>
                <w:sz w:val="1"/>
                <w:szCs w:val="1"/>
                <w:color w:val="auto"/>
              </w:rPr>
            </w:pPr>
          </w:p>
        </w:tc>
      </w:tr>
      <w:tr>
        <w:trPr>
          <w:trHeight w:val="110"/>
        </w:trPr>
        <w:tc>
          <w:tcPr>
            <w:tcW w:w="2560" w:type="dxa"/>
            <w:vAlign w:val="bottom"/>
            <w:tcBorders>
              <w:top w:val="single" w:sz="8" w:color="auto"/>
            </w:tcBorders>
            <w:gridSpan w:val="2"/>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Automotive Industries Pension Plan</w:t>
            </w:r>
          </w:p>
        </w:tc>
        <w:tc>
          <w:tcPr>
            <w:tcW w:w="14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EIN: 94-</w:t>
            </w:r>
          </w:p>
        </w:tc>
        <w:tc>
          <w:tcPr>
            <w:tcW w:w="1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center"/>
              <w:spacing w:after="0" w:line="110" w:lineRule="exact"/>
              <w:rPr>
                <w:sz w:val="20"/>
                <w:szCs w:val="20"/>
                <w:color w:val="auto"/>
              </w:rPr>
            </w:pPr>
            <w:r>
              <w:rPr>
                <w:rFonts w:ascii="Times New Roman" w:cs="Times New Roman" w:eastAsia="Times New Roman" w:hAnsi="Times New Roman"/>
                <w:sz w:val="12"/>
                <w:szCs w:val="12"/>
                <w:color w:val="auto"/>
              </w:rPr>
              <w:t>Critical and</w:t>
            </w: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center"/>
              <w:spacing w:after="0" w:line="110" w:lineRule="exact"/>
              <w:rPr>
                <w:sz w:val="20"/>
                <w:szCs w:val="20"/>
                <w:color w:val="auto"/>
              </w:rPr>
            </w:pPr>
            <w:r>
              <w:rPr>
                <w:rFonts w:ascii="Times New Roman" w:cs="Times New Roman" w:eastAsia="Times New Roman" w:hAnsi="Times New Roman"/>
                <w:sz w:val="12"/>
                <w:szCs w:val="12"/>
                <w:color w:val="auto"/>
              </w:rPr>
              <w:t>Critical and</w:t>
            </w: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center"/>
              <w:spacing w:after="0" w:line="110" w:lineRule="exact"/>
              <w:rPr>
                <w:sz w:val="20"/>
                <w:szCs w:val="20"/>
                <w:color w:val="auto"/>
              </w:rPr>
            </w:pPr>
            <w:r>
              <w:rPr>
                <w:rFonts w:ascii="Times New Roman" w:cs="Times New Roman" w:eastAsia="Times New Roman" w:hAnsi="Times New Roman"/>
                <w:sz w:val="12"/>
                <w:szCs w:val="12"/>
                <w:color w:val="auto"/>
              </w:rPr>
              <w:t>Implemented</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jc w:val="center"/>
              <w:spacing w:after="0" w:line="110" w:lineRule="exact"/>
              <w:rPr>
                <w:sz w:val="20"/>
                <w:szCs w:val="20"/>
                <w:color w:val="auto"/>
              </w:rPr>
            </w:pPr>
            <w:r>
              <w:rPr>
                <w:rFonts w:ascii="Times New Roman" w:cs="Times New Roman" w:eastAsia="Times New Roman" w:hAnsi="Times New Roman"/>
                <w:sz w:val="12"/>
                <w:szCs w:val="12"/>
                <w:color w:val="auto"/>
              </w:rPr>
              <w:t>6/30/2025</w:t>
            </w: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1133245;</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7"/>
              </w:rPr>
              <w:t>Declining</w:t>
            </w:r>
          </w:p>
        </w:tc>
        <w:tc>
          <w:tcPr>
            <w:tcW w:w="780" w:type="dxa"/>
            <w:vAlign w:val="bottom"/>
            <w:gridSpan w:val="2"/>
            <w:shd w:val="clear" w:color="auto" w:fill="CCEEFF"/>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7"/>
              </w:rPr>
              <w:t>Declining</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Plan Number:</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6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w w:val="97"/>
              </w:rPr>
              <w:t>Midwest Operating Engineers Pension Trust Fund</w:t>
            </w:r>
          </w:p>
        </w:tc>
        <w:tc>
          <w:tcPr>
            <w:tcW w:w="1060" w:type="dxa"/>
            <w:vAlign w:val="bottom"/>
            <w:gridSpan w:val="3"/>
          </w:tcPr>
          <w:p>
            <w:pPr>
              <w:ind w:left="140"/>
              <w:spacing w:after="0" w:line="117" w:lineRule="exact"/>
              <w:rPr>
                <w:sz w:val="20"/>
                <w:szCs w:val="20"/>
                <w:color w:val="auto"/>
              </w:rPr>
            </w:pPr>
            <w:r>
              <w:rPr>
                <w:rFonts w:ascii="Times New Roman" w:cs="Times New Roman" w:eastAsia="Times New Roman" w:hAnsi="Times New Roman"/>
                <w:sz w:val="13"/>
                <w:szCs w:val="13"/>
                <w:color w:val="auto"/>
              </w:rPr>
              <w:t>EIN: 36-</w:t>
            </w:r>
          </w:p>
        </w:tc>
        <w:tc>
          <w:tcPr>
            <w:tcW w:w="76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13"/>
                <w:szCs w:val="13"/>
                <w:color w:val="auto"/>
                <w:w w:val="92"/>
              </w:rPr>
              <w:t>Not</w:t>
            </w:r>
          </w:p>
        </w:tc>
        <w:tc>
          <w:tcPr>
            <w:tcW w:w="78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3"/>
                <w:szCs w:val="13"/>
                <w:color w:val="auto"/>
                <w:w w:val="92"/>
              </w:rPr>
              <w:t>Not</w:t>
            </w:r>
          </w:p>
        </w:tc>
        <w:tc>
          <w:tcPr>
            <w:tcW w:w="920" w:type="dxa"/>
            <w:vAlign w:val="bottom"/>
            <w:gridSpan w:val="3"/>
          </w:tcPr>
          <w:p>
            <w:pPr>
              <w:jc w:val="center"/>
              <w:ind w:right="208"/>
              <w:spacing w:after="0" w:line="117" w:lineRule="exact"/>
              <w:rPr>
                <w:sz w:val="20"/>
                <w:szCs w:val="20"/>
                <w:color w:val="auto"/>
              </w:rPr>
            </w:pPr>
            <w:r>
              <w:rPr>
                <w:rFonts w:ascii="Times New Roman" w:cs="Times New Roman" w:eastAsia="Times New Roman" w:hAnsi="Times New Roman"/>
                <w:sz w:val="13"/>
                <w:szCs w:val="13"/>
                <w:color w:val="auto"/>
                <w:w w:val="96"/>
              </w:rPr>
              <w:t>Implemented</w:t>
            </w:r>
          </w:p>
        </w:tc>
        <w:tc>
          <w:tcPr>
            <w:tcW w:w="4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0"/>
                <w:szCs w:val="10"/>
                <w:color w:val="auto"/>
              </w:rPr>
            </w:pPr>
          </w:p>
        </w:tc>
        <w:tc>
          <w:tcPr>
            <w:tcW w:w="9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Various dates</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6140097;</w:t>
            </w:r>
          </w:p>
        </w:tc>
        <w:tc>
          <w:tcPr>
            <w:tcW w:w="14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6"/>
              </w:rPr>
              <w:t>Endangered</w:t>
            </w: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6"/>
              </w:rPr>
              <w:t>Endangered</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through</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3"/>
                <w:szCs w:val="13"/>
                <w:color w:val="auto"/>
              </w:rPr>
              <w:t>Plan Number:</w:t>
            </w: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7"/>
              </w:rPr>
              <w:t>or Critical</w:t>
            </w: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7"/>
              </w:rPr>
              <w:t>or Critical</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jc w:val="center"/>
              <w:ind w:left="77"/>
              <w:spacing w:after="0" w:line="135" w:lineRule="exact"/>
              <w:rPr>
                <w:sz w:val="20"/>
                <w:szCs w:val="20"/>
                <w:color w:val="auto"/>
              </w:rPr>
            </w:pPr>
            <w:r>
              <w:rPr>
                <w:rFonts w:ascii="Times New Roman" w:cs="Times New Roman" w:eastAsia="Times New Roman" w:hAnsi="Times New Roman"/>
                <w:sz w:val="13"/>
                <w:szCs w:val="13"/>
                <w:color w:val="auto"/>
                <w:w w:val="94"/>
              </w:rPr>
              <w:t>9/30/2026</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4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6"/>
              </w:rPr>
              <w:t>as of</w:t>
            </w: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6"/>
              </w:rPr>
              <w:t>as of</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3/31/2024</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3/31/2023</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6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9"/>
              </w:rPr>
              <w:t>Suburban Teamsters of Northern Illinois Pension</w:t>
            </w:r>
          </w:p>
        </w:tc>
        <w:tc>
          <w:tcPr>
            <w:tcW w:w="1060" w:type="dxa"/>
            <w:vAlign w:val="bottom"/>
            <w:gridSpan w:val="3"/>
            <w:shd w:val="clear" w:color="auto" w:fill="CCEEFF"/>
          </w:tcPr>
          <w:p>
            <w:pPr>
              <w:ind w:left="140"/>
              <w:spacing w:after="0" w:line="117" w:lineRule="exact"/>
              <w:rPr>
                <w:sz w:val="20"/>
                <w:szCs w:val="20"/>
                <w:color w:val="auto"/>
              </w:rPr>
            </w:pPr>
            <w:r>
              <w:rPr>
                <w:rFonts w:ascii="Times New Roman" w:cs="Times New Roman" w:eastAsia="Times New Roman" w:hAnsi="Times New Roman"/>
                <w:sz w:val="13"/>
                <w:szCs w:val="13"/>
                <w:color w:val="auto"/>
              </w:rPr>
              <w:t>EIN: 36-</w:t>
            </w:r>
          </w:p>
        </w:tc>
        <w:tc>
          <w:tcPr>
            <w:tcW w:w="760" w:type="dxa"/>
            <w:vAlign w:val="bottom"/>
            <w:gridSpan w:val="2"/>
            <w:shd w:val="clear" w:color="auto" w:fill="CCEEFF"/>
          </w:tcPr>
          <w:p>
            <w:pPr>
              <w:jc w:val="center"/>
              <w:ind w:right="140"/>
              <w:spacing w:after="0" w:line="117" w:lineRule="exact"/>
              <w:rPr>
                <w:sz w:val="20"/>
                <w:szCs w:val="20"/>
                <w:color w:val="auto"/>
              </w:rPr>
            </w:pPr>
            <w:r>
              <w:rPr>
                <w:rFonts w:ascii="Times New Roman" w:cs="Times New Roman" w:eastAsia="Times New Roman" w:hAnsi="Times New Roman"/>
                <w:sz w:val="13"/>
                <w:szCs w:val="13"/>
                <w:color w:val="auto"/>
                <w:w w:val="92"/>
              </w:rPr>
              <w:t>Not</w:t>
            </w:r>
          </w:p>
        </w:tc>
        <w:tc>
          <w:tcPr>
            <w:tcW w:w="780" w:type="dxa"/>
            <w:vAlign w:val="bottom"/>
            <w:gridSpan w:val="2"/>
            <w:shd w:val="clear" w:color="auto" w:fill="CCEEFF"/>
          </w:tcPr>
          <w:p>
            <w:pPr>
              <w:jc w:val="center"/>
              <w:ind w:right="160"/>
              <w:spacing w:after="0" w:line="117" w:lineRule="exact"/>
              <w:rPr>
                <w:sz w:val="20"/>
                <w:szCs w:val="20"/>
                <w:color w:val="auto"/>
              </w:rPr>
            </w:pPr>
            <w:r>
              <w:rPr>
                <w:rFonts w:ascii="Times New Roman" w:cs="Times New Roman" w:eastAsia="Times New Roman" w:hAnsi="Times New Roman"/>
                <w:sz w:val="13"/>
                <w:szCs w:val="13"/>
                <w:color w:val="auto"/>
                <w:w w:val="92"/>
              </w:rPr>
              <w:t>Not</w:t>
            </w:r>
          </w:p>
        </w:tc>
        <w:tc>
          <w:tcPr>
            <w:tcW w:w="920" w:type="dxa"/>
            <w:vAlign w:val="bottom"/>
            <w:gridSpan w:val="3"/>
            <w:shd w:val="clear" w:color="auto" w:fill="CCEEFF"/>
          </w:tcPr>
          <w:p>
            <w:pPr>
              <w:jc w:val="center"/>
              <w:ind w:right="208"/>
              <w:spacing w:after="0" w:line="117" w:lineRule="exact"/>
              <w:rPr>
                <w:sz w:val="20"/>
                <w:szCs w:val="20"/>
                <w:color w:val="auto"/>
              </w:rPr>
            </w:pPr>
            <w:r>
              <w:rPr>
                <w:rFonts w:ascii="Times New Roman" w:cs="Times New Roman" w:eastAsia="Times New Roman" w:hAnsi="Times New Roman"/>
                <w:sz w:val="13"/>
                <w:szCs w:val="13"/>
                <w:color w:val="auto"/>
                <w:w w:val="96"/>
              </w:rPr>
              <w:t>Implemented</w:t>
            </w:r>
          </w:p>
        </w:tc>
        <w:tc>
          <w:tcPr>
            <w:tcW w:w="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Various dates</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Plan (d)</w:t>
            </w:r>
          </w:p>
        </w:tc>
        <w:tc>
          <w:tcPr>
            <w:tcW w:w="92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6155778;</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6"/>
              </w:rPr>
              <w:t>Endangered</w:t>
            </w:r>
          </w:p>
        </w:tc>
        <w:tc>
          <w:tcPr>
            <w:tcW w:w="780" w:type="dxa"/>
            <w:vAlign w:val="bottom"/>
            <w:gridSpan w:val="2"/>
            <w:shd w:val="clear" w:color="auto" w:fill="CCEEFF"/>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6"/>
              </w:rPr>
              <w:t>Endangered</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through</w:t>
            </w: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Plan Number:</w:t>
            </w:r>
          </w:p>
        </w:tc>
        <w:tc>
          <w:tcPr>
            <w:tcW w:w="760" w:type="dxa"/>
            <w:vAlign w:val="bottom"/>
            <w:gridSpan w:val="2"/>
            <w:shd w:val="clear" w:color="auto" w:fill="CCEEFF"/>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7"/>
              </w:rPr>
              <w:t>or Critical</w:t>
            </w:r>
          </w:p>
        </w:tc>
        <w:tc>
          <w:tcPr>
            <w:tcW w:w="780" w:type="dxa"/>
            <w:vAlign w:val="bottom"/>
            <w:gridSpan w:val="2"/>
            <w:shd w:val="clear" w:color="auto" w:fill="CCEEFF"/>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7"/>
              </w:rPr>
              <w:t>or Critical</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left="77"/>
              <w:spacing w:after="0" w:line="135" w:lineRule="exact"/>
              <w:rPr>
                <w:sz w:val="20"/>
                <w:szCs w:val="20"/>
                <w:color w:val="auto"/>
              </w:rPr>
            </w:pPr>
            <w:r>
              <w:rPr>
                <w:rFonts w:ascii="Times New Roman" w:cs="Times New Roman" w:eastAsia="Times New Roman" w:hAnsi="Times New Roman"/>
                <w:sz w:val="13"/>
                <w:szCs w:val="13"/>
                <w:color w:val="auto"/>
                <w:w w:val="94"/>
              </w:rPr>
              <w:t>3/31/2028</w:t>
            </w:r>
          </w:p>
        </w:tc>
        <w:tc>
          <w:tcPr>
            <w:tcW w:w="0" w:type="dxa"/>
            <w:vAlign w:val="bottom"/>
          </w:tcPr>
          <w:p>
            <w:pPr>
              <w:spacing w:after="0"/>
              <w:rPr>
                <w:sz w:val="1"/>
                <w:szCs w:val="1"/>
                <w:color w:val="auto"/>
              </w:rPr>
            </w:pPr>
          </w:p>
        </w:tc>
      </w:tr>
      <w:tr>
        <w:trPr>
          <w:trHeight w:val="153"/>
        </w:trPr>
        <w:tc>
          <w:tcPr>
            <w:tcW w:w="2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6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Western Conference of Teamsters Pension Plan</w:t>
            </w:r>
          </w:p>
        </w:tc>
        <w:tc>
          <w:tcPr>
            <w:tcW w:w="1060" w:type="dxa"/>
            <w:vAlign w:val="bottom"/>
            <w:gridSpan w:val="3"/>
          </w:tcPr>
          <w:p>
            <w:pPr>
              <w:ind w:left="140"/>
              <w:spacing w:after="0" w:line="117" w:lineRule="exact"/>
              <w:rPr>
                <w:sz w:val="20"/>
                <w:szCs w:val="20"/>
                <w:color w:val="auto"/>
              </w:rPr>
            </w:pPr>
            <w:r>
              <w:rPr>
                <w:rFonts w:ascii="Times New Roman" w:cs="Times New Roman" w:eastAsia="Times New Roman" w:hAnsi="Times New Roman"/>
                <w:sz w:val="13"/>
                <w:szCs w:val="13"/>
                <w:color w:val="auto"/>
              </w:rPr>
              <w:t>EIN: 91-</w:t>
            </w:r>
          </w:p>
        </w:tc>
        <w:tc>
          <w:tcPr>
            <w:tcW w:w="76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13"/>
                <w:szCs w:val="13"/>
                <w:color w:val="auto"/>
                <w:w w:val="92"/>
              </w:rPr>
              <w:t>Not</w:t>
            </w:r>
          </w:p>
        </w:tc>
        <w:tc>
          <w:tcPr>
            <w:tcW w:w="78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3"/>
                <w:szCs w:val="13"/>
                <w:color w:val="auto"/>
                <w:w w:val="92"/>
              </w:rPr>
              <w:t>Not</w:t>
            </w:r>
          </w:p>
        </w:tc>
        <w:tc>
          <w:tcPr>
            <w:tcW w:w="920" w:type="dxa"/>
            <w:vAlign w:val="bottom"/>
            <w:gridSpan w:val="3"/>
          </w:tcPr>
          <w:p>
            <w:pPr>
              <w:jc w:val="center"/>
              <w:ind w:right="208"/>
              <w:spacing w:after="0" w:line="117" w:lineRule="exact"/>
              <w:rPr>
                <w:sz w:val="20"/>
                <w:szCs w:val="20"/>
                <w:color w:val="auto"/>
              </w:rPr>
            </w:pPr>
            <w:r>
              <w:rPr>
                <w:rFonts w:ascii="Times New Roman" w:cs="Times New Roman" w:eastAsia="Times New Roman" w:hAnsi="Times New Roman"/>
                <w:sz w:val="13"/>
                <w:szCs w:val="13"/>
                <w:color w:val="auto"/>
                <w:w w:val="92"/>
              </w:rPr>
              <w:t>Not</w:t>
            </w:r>
          </w:p>
        </w:tc>
        <w:tc>
          <w:tcPr>
            <w:tcW w:w="4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47</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41</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37</w:t>
            </w:r>
          </w:p>
        </w:tc>
        <w:tc>
          <w:tcPr>
            <w:tcW w:w="140" w:type="dxa"/>
            <w:vAlign w:val="bottom"/>
          </w:tcPr>
          <w:p>
            <w:pPr>
              <w:spacing w:after="0"/>
              <w:rPr>
                <w:sz w:val="10"/>
                <w:szCs w:val="10"/>
                <w:color w:val="auto"/>
              </w:rPr>
            </w:pPr>
          </w:p>
        </w:tc>
        <w:tc>
          <w:tcPr>
            <w:tcW w:w="9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Various dates</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6145047;</w:t>
            </w:r>
          </w:p>
        </w:tc>
        <w:tc>
          <w:tcPr>
            <w:tcW w:w="14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6"/>
              </w:rPr>
              <w:t>Endangered</w:t>
            </w: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6"/>
              </w:rPr>
              <w:t>Endangered</w:t>
            </w:r>
          </w:p>
        </w:tc>
        <w:tc>
          <w:tcPr>
            <w:tcW w:w="920" w:type="dxa"/>
            <w:vAlign w:val="bottom"/>
            <w:gridSpan w:val="3"/>
          </w:tcPr>
          <w:p>
            <w:pPr>
              <w:jc w:val="center"/>
              <w:ind w:right="208"/>
              <w:spacing w:after="0" w:line="135" w:lineRule="exact"/>
              <w:rPr>
                <w:sz w:val="20"/>
                <w:szCs w:val="20"/>
                <w:color w:val="auto"/>
              </w:rPr>
            </w:pPr>
            <w:r>
              <w:rPr>
                <w:rFonts w:ascii="Times New Roman" w:cs="Times New Roman" w:eastAsia="Times New Roman" w:hAnsi="Times New Roman"/>
                <w:sz w:val="13"/>
                <w:szCs w:val="13"/>
                <w:color w:val="auto"/>
                <w:w w:val="94"/>
              </w:rPr>
              <w:t>Applicable</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through</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3"/>
                <w:szCs w:val="13"/>
                <w:color w:val="auto"/>
              </w:rPr>
              <w:t>Plan Number:</w:t>
            </w: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7"/>
              </w:rPr>
              <w:t>or Critical</w:t>
            </w: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7"/>
              </w:rPr>
              <w:t>or Critical</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jc w:val="center"/>
              <w:ind w:left="77"/>
              <w:spacing w:after="0" w:line="135" w:lineRule="exact"/>
              <w:rPr>
                <w:sz w:val="20"/>
                <w:szCs w:val="20"/>
                <w:color w:val="auto"/>
              </w:rPr>
            </w:pPr>
            <w:r>
              <w:rPr>
                <w:rFonts w:ascii="Times New Roman" w:cs="Times New Roman" w:eastAsia="Times New Roman" w:hAnsi="Times New Roman"/>
                <w:sz w:val="13"/>
                <w:szCs w:val="13"/>
                <w:color w:val="auto"/>
                <w:w w:val="97"/>
              </w:rPr>
              <w:t>12/31/2029</w:t>
            </w:r>
          </w:p>
        </w:tc>
        <w:tc>
          <w:tcPr>
            <w:tcW w:w="0" w:type="dxa"/>
            <w:vAlign w:val="bottom"/>
          </w:tcPr>
          <w:p>
            <w:pPr>
              <w:spacing w:after="0"/>
              <w:rPr>
                <w:sz w:val="1"/>
                <w:szCs w:val="1"/>
                <w:color w:val="auto"/>
              </w:rPr>
            </w:pPr>
          </w:p>
        </w:tc>
      </w:tr>
      <w:tr>
        <w:trPr>
          <w:trHeight w:val="153"/>
        </w:trPr>
        <w:tc>
          <w:tcPr>
            <w:tcW w:w="2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6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8"/>
              </w:rPr>
              <w:t>Pension Plan Private Sanitation Union, Local 813</w:t>
            </w:r>
          </w:p>
        </w:tc>
        <w:tc>
          <w:tcPr>
            <w:tcW w:w="1060" w:type="dxa"/>
            <w:vAlign w:val="bottom"/>
            <w:gridSpan w:val="3"/>
            <w:shd w:val="clear" w:color="auto" w:fill="CCEEFF"/>
          </w:tcPr>
          <w:p>
            <w:pPr>
              <w:ind w:left="140"/>
              <w:spacing w:after="0" w:line="117" w:lineRule="exact"/>
              <w:rPr>
                <w:sz w:val="20"/>
                <w:szCs w:val="20"/>
                <w:color w:val="auto"/>
              </w:rPr>
            </w:pPr>
            <w:r>
              <w:rPr>
                <w:rFonts w:ascii="Times New Roman" w:cs="Times New Roman" w:eastAsia="Times New Roman" w:hAnsi="Times New Roman"/>
                <w:sz w:val="13"/>
                <w:szCs w:val="13"/>
                <w:color w:val="auto"/>
              </w:rPr>
              <w:t>EIN: 13-</w:t>
            </w:r>
          </w:p>
        </w:tc>
        <w:tc>
          <w:tcPr>
            <w:tcW w:w="760" w:type="dxa"/>
            <w:vAlign w:val="bottom"/>
            <w:gridSpan w:val="2"/>
            <w:shd w:val="clear" w:color="auto" w:fill="CCEEFF"/>
          </w:tcPr>
          <w:p>
            <w:pPr>
              <w:jc w:val="center"/>
              <w:ind w:right="140"/>
              <w:spacing w:after="0" w:line="117" w:lineRule="exact"/>
              <w:rPr>
                <w:sz w:val="20"/>
                <w:szCs w:val="20"/>
                <w:color w:val="auto"/>
              </w:rPr>
            </w:pPr>
            <w:r>
              <w:rPr>
                <w:rFonts w:ascii="Times New Roman" w:cs="Times New Roman" w:eastAsia="Times New Roman" w:hAnsi="Times New Roman"/>
                <w:sz w:val="13"/>
                <w:szCs w:val="13"/>
                <w:color w:val="auto"/>
                <w:w w:val="97"/>
              </w:rPr>
              <w:t>Red and</w:t>
            </w:r>
          </w:p>
        </w:tc>
        <w:tc>
          <w:tcPr>
            <w:tcW w:w="780" w:type="dxa"/>
            <w:vAlign w:val="bottom"/>
            <w:gridSpan w:val="2"/>
            <w:shd w:val="clear" w:color="auto" w:fill="CCEEFF"/>
          </w:tcPr>
          <w:p>
            <w:pPr>
              <w:jc w:val="center"/>
              <w:ind w:right="160"/>
              <w:spacing w:after="0" w:line="117" w:lineRule="exact"/>
              <w:rPr>
                <w:sz w:val="20"/>
                <w:szCs w:val="20"/>
                <w:color w:val="auto"/>
              </w:rPr>
            </w:pPr>
            <w:r>
              <w:rPr>
                <w:rFonts w:ascii="Times New Roman" w:cs="Times New Roman" w:eastAsia="Times New Roman" w:hAnsi="Times New Roman"/>
                <w:sz w:val="13"/>
                <w:szCs w:val="13"/>
                <w:color w:val="auto"/>
                <w:w w:val="97"/>
              </w:rPr>
              <w:t>Red and</w:t>
            </w:r>
          </w:p>
        </w:tc>
        <w:tc>
          <w:tcPr>
            <w:tcW w:w="920" w:type="dxa"/>
            <w:vAlign w:val="bottom"/>
            <w:gridSpan w:val="3"/>
            <w:shd w:val="clear" w:color="auto" w:fill="CCEEFF"/>
          </w:tcPr>
          <w:p>
            <w:pPr>
              <w:jc w:val="center"/>
              <w:ind w:right="208"/>
              <w:spacing w:after="0" w:line="117" w:lineRule="exact"/>
              <w:rPr>
                <w:sz w:val="20"/>
                <w:szCs w:val="20"/>
                <w:color w:val="auto"/>
              </w:rPr>
            </w:pPr>
            <w:r>
              <w:rPr>
                <w:rFonts w:ascii="Times New Roman" w:cs="Times New Roman" w:eastAsia="Times New Roman" w:hAnsi="Times New Roman"/>
                <w:sz w:val="13"/>
                <w:szCs w:val="13"/>
                <w:color w:val="auto"/>
                <w:w w:val="96"/>
              </w:rPr>
              <w:t>Implemented</w:t>
            </w:r>
          </w:p>
        </w:tc>
        <w:tc>
          <w:tcPr>
            <w:tcW w:w="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Various dates</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IBT</w:t>
            </w:r>
          </w:p>
        </w:tc>
        <w:tc>
          <w:tcPr>
            <w:tcW w:w="92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1975659;</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7"/>
              </w:rPr>
              <w:t>Critical</w:t>
            </w:r>
          </w:p>
        </w:tc>
        <w:tc>
          <w:tcPr>
            <w:tcW w:w="780" w:type="dxa"/>
            <w:vAlign w:val="bottom"/>
            <w:gridSpan w:val="2"/>
            <w:shd w:val="clear" w:color="auto" w:fill="CCEEFF"/>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7"/>
              </w:rPr>
              <w:t>Critical</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Plan Number:</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56</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44</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56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Contributions to other Multiemployer Pension</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Plans</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56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color w:val="auto"/>
              </w:rPr>
              <w:t>Total contributions to Multiemployer Pension</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40" w:type="dxa"/>
            <w:vAlign w:val="bottom"/>
          </w:tcPr>
          <w:p>
            <w:pPr>
              <w:spacing w:after="0"/>
              <w:rPr>
                <w:sz w:val="8"/>
                <w:szCs w:val="8"/>
                <w:color w:val="auto"/>
              </w:rPr>
            </w:pPr>
          </w:p>
        </w:tc>
        <w:tc>
          <w:tcPr>
            <w:tcW w:w="10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56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Plans (e)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79" w:hanging="330"/>
        <w:spacing w:after="0" w:line="258"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in the table above, the most recent Pension Protection Act zone status available in 2024 and 2023 is for the plan’s year-end as of December 31, 2023 and 2022, respectively. The zone status is based on information that we received from the plan and is certified by the plan’s actuary. As defined in the Pension Protection Act of 2006, among other factors, plans reported as critical are generally less than 65% funded and plans reported as endangered are generally less than 80% funded. Under the Multiemployer Pension Reform Act of 2014, a plan 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right="79"/>
        <w:spacing w:after="0" w:line="282" w:lineRule="auto"/>
        <w:rPr>
          <w:sz w:val="20"/>
          <w:szCs w:val="20"/>
          <w:color w:val="auto"/>
        </w:rPr>
      </w:pPr>
      <w:r>
        <w:rPr>
          <w:rFonts w:ascii="Times New Roman" w:cs="Times New Roman" w:eastAsia="Times New Roman" w:hAnsi="Times New Roman"/>
          <w:sz w:val="18"/>
          <w:szCs w:val="18"/>
          <w:color w:val="auto"/>
        </w:rPr>
        <w:t>generally in critical and declining status if it (i) is certified to be in critical status pursuant to the Pension Protection Act of 2006 and (ii) is projected to be insolvent within the next 15 years or, in certain circumstances, 20 years.</w:t>
      </w:r>
    </w:p>
    <w:p>
      <w:pPr>
        <w:spacing w:after="0" w:line="54" w:lineRule="exact"/>
        <w:rPr>
          <w:sz w:val="20"/>
          <w:szCs w:val="20"/>
          <w:color w:val="auto"/>
        </w:rPr>
      </w:pPr>
    </w:p>
    <w:p>
      <w:pPr>
        <w:ind w:left="380" w:right="79" w:hanging="330"/>
        <w:spacing w:after="0" w:line="282" w:lineRule="auto"/>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“FIP/RP Status” column indicates plans for which a Funding Improvement Plan (“FIP”) or a Rehabilitation Plan (“RP”) has been implemented.</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Multiemployer Pension Plan that has been certified as endangered, seriously endangered or critical may begin to levy a statutory surcharge on contribution rates. Once authorized, the surcharge is at the rate of 5% for the first 12 months and 10% for any periods thereafter. Contributing employers, however, may eliminate the surcharge by entering into a collective bargaining agreement that meets the requirements of the applicable FIP or RP.</w:t>
      </w:r>
    </w:p>
    <w:p>
      <w:pPr>
        <w:spacing w:after="0" w:line="71"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Multiemployer Pension Plans considered to be individually significant, the Company was listed in the Form 5500 of the Suburban Teamsters of Northern Illinois Pension Plan as providing more than 5% of the total contributions for plan years ending December 31, 2024 and 2023.</w:t>
      </w:r>
    </w:p>
    <w:p>
      <w:pPr>
        <w:spacing w:after="0" w:line="6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contributions to Multiemployer Pension Plans exclude contributions related to withdrawal liabilities, if any.</w:t>
      </w:r>
    </w:p>
    <w:p>
      <w:pPr>
        <w:spacing w:after="0" w:line="22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portion of the projected benefit obligation, plan assets and unfunded liability for the Multiemployer Pension Plans is not material to our financial position. However, the failure of participating employers to remain solvent could affect our portion of the plans’ unfunded liability. Specific benefit levels provided by union pension plans are not negotiated with or known by the employer contributors.</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our ongoing renegotiations of various collective bargaining agreements, we may discuss and negotiate for the complete or partial withdrawal from one or more of these pension plans. Further, business events, such as the discontinuation or nonrenewal of a customer contract, the decertification of a union, or relocation, reduction or discontinuance of certain operations, which result in the decline of Company contributions to a Multiemployer Pension Plan could trigger a partial or complete withdrawal. In the event of a withdrawal, we may incur expenses associated with our obligations for unfunded vested benefits at the time of the withdrawal. Refer to Note 10 for additional information related to our obligations to Multiemployer Pension Plans.</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Multiemployer Plan Benefits Other Than Pensions — </w:t>
      </w:r>
      <w:r>
        <w:rPr>
          <w:rFonts w:ascii="Times New Roman" w:cs="Times New Roman" w:eastAsia="Times New Roman" w:hAnsi="Times New Roman"/>
          <w:sz w:val="18"/>
          <w:szCs w:val="18"/>
          <w:color w:val="auto"/>
        </w:rPr>
        <w:t>During the years ended December 31, 2024, 2023 and 2022,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made contributions of $62 million, $56 million and $49 million, respectively, to multiemployer health and welfare plans that also provide other post-retirement employee benefits. Funding of benefit payments for plan participants are made at negotiated rates in the respective collective bargaining agreements as costs are incurred.</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 </w:t>
      </w:r>
      <w:r>
        <w:rPr>
          <w:rFonts w:ascii="Times New Roman" w:cs="Times New Roman" w:eastAsia="Times New Roman" w:hAnsi="Times New Roman"/>
          <w:sz w:val="18"/>
          <w:szCs w:val="18"/>
          <w:color w:val="auto"/>
        </w:rPr>
        <w:t>We have obtained letters of credit, surety bonds and insurance policies and have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6.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8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 effective sources of financial assurance.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Insurance — </w:t>
      </w:r>
      <w:r>
        <w:rPr>
          <w:rFonts w:ascii="Times New Roman" w:cs="Times New Roman" w:eastAsia="Times New Roman" w:hAnsi="Times New Roman"/>
          <w:sz w:val="18"/>
          <w:szCs w:val="18"/>
          <w:color w:val="auto"/>
        </w:rPr>
        <w:t>We carry insurance coverage for protection of our assets and operations from certain risks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and any amounts that exceed our insured limits. Our exposure could increase if our insurers are unable to meet their commitments on a timely basis.</w:t>
      </w:r>
    </w:p>
    <w:p>
      <w:pPr>
        <w:spacing w:after="0" w:line="18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have retained a significant portion of the risks related to our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 Our receivable balance associated with insurance claims was $111 million and $127 million as of December 31, 2024 and 2023 respectively. The changes to our insurance reserves for the year ended December 31 are summarized below (in millions):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2840" w:type="dxa"/>
            <w:vAlign w:val="bottom"/>
            <w:tcBorders>
              <w:bottom w:val="single" w:sz="8" w:color="CCEEFF"/>
            </w:tcBorders>
          </w:tcPr>
          <w:p>
            <w:pPr>
              <w:spacing w:after="0"/>
              <w:rPr>
                <w:sz w:val="15"/>
                <w:szCs w:val="15"/>
                <w:color w:val="auto"/>
              </w:rPr>
            </w:pPr>
          </w:p>
        </w:tc>
        <w:tc>
          <w:tcPr>
            <w:tcW w:w="2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2024(a)</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Self-insurance expense</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and other</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Assumed liabilities from acquisitions</w:t>
            </w:r>
          </w:p>
        </w:tc>
        <w:tc>
          <w:tcPr>
            <w:tcW w:w="2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2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Current portion as of December 31</w:t>
            </w:r>
          </w:p>
        </w:tc>
        <w:tc>
          <w:tcPr>
            <w:tcW w:w="2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gridSpan w:val="2"/>
            <w:vMerge w:val="continue"/>
          </w:tcPr>
          <w:p>
            <w:pPr>
              <w:spacing w:after="0"/>
              <w:rPr>
                <w:sz w:val="17"/>
                <w:szCs w:val="17"/>
                <w:color w:val="auto"/>
              </w:rPr>
            </w:pPr>
          </w:p>
        </w:tc>
        <w:tc>
          <w:tcPr>
            <w:tcW w:w="214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2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portion as of December 31</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8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79" w:hanging="330"/>
        <w:spacing w:after="0" w:line="282" w:lineRule="auto"/>
        <w:tabs>
          <w:tab w:leader="none" w:pos="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current estimates, we anticipate that most of our insurance reserves will be settled in cash over the next six years.</w:t>
      </w:r>
    </w:p>
    <w:p>
      <w:pPr>
        <w:spacing w:after="0" w:line="54"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do not expect the impact of any known casualty, property, environmental or other contingency to have a material impact on our financial condition, results of operations or cash flows.</w:t>
      </w:r>
    </w:p>
    <w:p>
      <w:pPr>
        <w:spacing w:after="0" w:line="16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Unconditional Purchase Obligations </w:t>
      </w:r>
      <w:r>
        <w:rPr>
          <w:rFonts w:ascii="Times New Roman" w:cs="Times New Roman" w:eastAsia="Times New Roman" w:hAnsi="Times New Roman"/>
          <w:sz w:val="18"/>
          <w:szCs w:val="18"/>
          <w:color w:val="auto"/>
        </w:rPr>
        <w:t>— Our unconditional purchase obligations are generally established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course of our business and are structured in a manner that provides us with access to important resources at competitive, market-driven rates and consist primarily of the following:</w:t>
      </w:r>
    </w:p>
    <w:p>
      <w:pPr>
        <w:spacing w:after="0" w:line="65" w:lineRule="exact"/>
        <w:rPr>
          <w:sz w:val="20"/>
          <w:szCs w:val="20"/>
          <w:color w:val="auto"/>
        </w:rPr>
      </w:pPr>
    </w:p>
    <w:p>
      <w:pPr>
        <w:jc w:val="both"/>
        <w:ind w:left="720" w:right="79" w:hanging="319"/>
        <w:spacing w:after="0" w:line="258"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Disposal — </w:t>
      </w:r>
      <w:r>
        <w:rPr>
          <w:rFonts w:ascii="Times New Roman" w:cs="Times New Roman" w:eastAsia="Times New Roman" w:hAnsi="Times New Roman"/>
          <w:sz w:val="18"/>
          <w:szCs w:val="18"/>
          <w:color w:val="auto"/>
        </w:rPr>
        <w:t>We have several agreements expiring at various dates through 2052 that require us to dispose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minimum number of tons at third-party disposal facilities. Under these put-or-pay agreements, we are required to pay for the agreed upon minimum volumes regardless of the actual number of tons placed at the facilities. We generally fulfill our minimum contractual obligations by disposing of volumes collected in the ordinary course of business at these disposal facilities.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67"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 </w:t>
      </w:r>
      <w:r>
        <w:rPr>
          <w:rFonts w:ascii="Times New Roman" w:cs="Times New Roman" w:eastAsia="Times New Roman" w:hAnsi="Times New Roman"/>
          <w:sz w:val="18"/>
          <w:szCs w:val="18"/>
          <w:color w:val="auto"/>
        </w:rPr>
        <w:t>We are party to certain multi-year service agreements, including various contracts to support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WM Renewable Energy segment, such as interconnection agreements, expiring at various dates through 2046 requiring minimum annual payments.</w:t>
      </w:r>
    </w:p>
    <w:p>
      <w:pPr>
        <w:spacing w:after="0" w:line="6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our estimated minimum obligations associated with unconditional purchase obligations were $274 million in 2025, $270 million in 2026, $142 million in 2027, $96 million in 2028, $68 million in 2029 and $556 million thereafter. We may also establish unconditional purchase obligations in conjunction with acquisitions or divestitures. Our future minimum obligations under these outstanding purchase agreements are generally quantity driven and, as a result, our associated financial obligations are not fixed as of December 31, 2024. For contracts that require us to</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purchase minimum quantities of goods or services, we have estimated our future minimum obligations based on the current market values of the underlying products or services or contractually stated amounts. We currently expect the products and services provided by these agreements to continue to meet the needs of our ongoing operations. Therefore, we do not expect these established arrangements to materially impact our future financial condition, results of operations or cash flows.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17" w:lineRule="exact"/>
        <w:rPr>
          <w:sz w:val="20"/>
          <w:szCs w:val="20"/>
          <w:color w:val="auto"/>
        </w:rPr>
      </w:pPr>
    </w:p>
    <w:p>
      <w:pPr>
        <w:jc w:val="both"/>
        <w:ind w:left="720" w:right="79" w:hanging="319"/>
        <w:spacing w:after="0" w:line="254" w:lineRule="auto"/>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Royalties — </w:t>
      </w:r>
      <w:r>
        <w:rPr>
          <w:rFonts w:ascii="Times New Roman" w:cs="Times New Roman" w:eastAsia="Times New Roman" w:hAnsi="Times New Roman"/>
          <w:sz w:val="18"/>
          <w:szCs w:val="18"/>
          <w:color w:val="auto"/>
        </w:rPr>
        <w:t>We have various arrangements that require us to make royalty payments to third parties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landowners, lessors or host communities where our operations are located. Our obligations generally are based on per ton rates for waste actually received at our transfer stations or landfills. Royalty agreements that are non-cancelable and require fixed or minimum payments are included in our financing leases and other debt obligations in our Consolidated Balance Sheets as disclosed in Note 6. Additionally, our Collection and Disposal and Corporate and Other businesses earn royalties from our WM Renewable Energy segment related to the transfer of landfill gas to our WM Renewable Energy segment from our active and closed landfills. All royalties between our WM Renewable Energy segment and Collection and Disposal and Corporate and Other businesses are eliminated in consolidation.</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Guarantees — </w:t>
      </w:r>
      <w:r>
        <w:rPr>
          <w:rFonts w:ascii="Times New Roman" w:cs="Times New Roman" w:eastAsia="Times New Roman" w:hAnsi="Times New Roman"/>
          <w:sz w:val="18"/>
          <w:szCs w:val="18"/>
          <w:color w:val="auto"/>
        </w:rPr>
        <w:t>We have entered into the following guarantee agreements associated with our operations:</w:t>
      </w:r>
    </w:p>
    <w:p>
      <w:pPr>
        <w:spacing w:after="0" w:line="119" w:lineRule="exact"/>
        <w:rPr>
          <w:sz w:val="20"/>
          <w:szCs w:val="20"/>
          <w:color w:val="auto"/>
        </w:rPr>
      </w:pPr>
    </w:p>
    <w:p>
      <w:pPr>
        <w:jc w:val="both"/>
        <w:ind w:left="720" w:right="79" w:hanging="319"/>
        <w:spacing w:after="0" w:line="255" w:lineRule="auto"/>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WM Holdings has fully and unconditionally guaranteed all of WMI’s senior indebtedness, including its senior notes which mature through 2054, $3.5 billion revolving credit facility and certain letter of credit lines. WMI has fully and unconditionally guaranteed the senior indebtedness of WM Holdings, which matures in 2026. Performance under these guarantee agreements would be required if either party defaulted on their respective obligations. No additional liabilities have been recorded for these intercompany guarantees because all of the underlying obligations are reflected in our Consolidated Balance Sheets.</w:t>
      </w:r>
    </w:p>
    <w:p>
      <w:pPr>
        <w:spacing w:after="0" w:line="80"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WMI and WM Holdings have guaranteed subsidiary debt obligations, including tax-exempt bonds, financing leases and other indebtedness. If a subsidiary fails to meet its obligations associated with its debt agreements as they come due, WMI or WM Holdings will be required to perform under the related guarantee agreement. No additional liabilities have been recorded for these intercompany guarantees because all of the underlying obligations are reflected in our Consolidated Balance Sheets. See Note 6 for information related to the balances and maturities of these debt obligations.</w:t>
      </w:r>
    </w:p>
    <w:p>
      <w:pPr>
        <w:spacing w:after="0" w:line="79"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subsidiaries have guaranteed the market or contractually-determined value of certain homeowners’ properties that are adjacent to or near certain of our landfills. These guarantee agreements extend over the life of the respective landfill. Under these agreements, we would be responsible for the difference, if any, between the sale value and the guaranteed market or contractually-determined value of the homeowners’ properties. As of December 31, 2024, we have agreements guaranteeing certain market value losses for certain properties adjacent to or near 18 of our landfills. Any liability associated with the triggering of the home value guarantee has been reflected in our Consolidated Balance Sheets. We do not believe that the remaining contingent obligations will have a material adverse effect on the Company’s business, financial condition, results of operations or cash flows.</w:t>
      </w:r>
    </w:p>
    <w:p>
      <w:pPr>
        <w:spacing w:after="0" w:line="83"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720" w:right="79"/>
        <w:spacing w:after="0" w:line="282" w:lineRule="auto"/>
        <w:rPr>
          <w:sz w:val="20"/>
          <w:szCs w:val="20"/>
          <w:color w:val="auto"/>
        </w:rPr>
      </w:pPr>
      <w:r>
        <w:rPr>
          <w:rFonts w:ascii="Times New Roman" w:cs="Times New Roman" w:eastAsia="Times New Roman" w:hAnsi="Times New Roman"/>
          <w:sz w:val="18"/>
          <w:szCs w:val="18"/>
          <w:color w:val="auto"/>
        </w:rPr>
        <w:t>will have a material adverse effect on the Company’s business, financial condition, results of operations or cash flows.</w:t>
      </w:r>
    </w:p>
    <w:p>
      <w:pPr>
        <w:spacing w:after="0" w:line="54" w:lineRule="exact"/>
        <w:rPr>
          <w:sz w:val="20"/>
          <w:szCs w:val="20"/>
          <w:color w:val="auto"/>
        </w:rPr>
      </w:pPr>
    </w:p>
    <w:p>
      <w:pPr>
        <w:jc w:val="both"/>
        <w:ind w:left="720" w:right="79" w:hanging="319"/>
        <w:spacing w:after="0" w:line="255"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WMI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financing leases, as appropriate.</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 </w:t>
      </w:r>
      <w:r>
        <w:rPr>
          <w:rFonts w:ascii="Times New Roman" w:cs="Times New Roman" w:eastAsia="Times New Roman" w:hAnsi="Times New Roman"/>
          <w:sz w:val="18"/>
          <w:szCs w:val="18"/>
          <w:color w:val="auto"/>
        </w:rPr>
        <w:t>A significant portion of our operating costs and capital expenditures could be characterized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PRP investigations. The costs associated with these liabilities can include settlements, certain legal and consultant fees, as well as incremental internal and external costs directly associated with site investigation and clean-up.</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2024, we have been notified by the government that we are a PRP in connection with 74 locations listed on EPA Superfund National Priorities List (“NPL”). Of the 74 sites at which claims have been made against us, 14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 sites, which we do not own, are at various procedural stages under the Comprehensive Environmental Response, Compensation and Liability Act of 1980, as amended, known as CERCLA or Superfund.</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9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2018, both of McGinnes Industrial Maintenance Corporation (“MIMC”), a subsidiary of Waste Management of Texas, Inc., and International Paper Company (“IPC”) entered into an Administrative Order on Consent with the EPA as PRPs to develop a remedial design for the San Jacinto River Waste Pits Superfund Site in Harris County, Texas. We recorded a liability for MIMC’s estimated potential share of the EPA’s proposed remedy and related costs, although allocation of responsibility among the PRPs for the proposed remedy has not been established. MIMC and IPC have continued to work on a remedial design to support the EPA’s proposed remedy; however, in the first quarter of 2024, the EPA publicly issued a letter alleging that the remedial design had serious deficiencies. MIMC and IPC engaged with the EPA throughout the year, and in November 2024, MIMC and IPC publicly issued a proposed revised full remedial design to address the EPA’s comments. Due to increases in the estimated costs of the remedy to address the EPA’s comments, in</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fourth quarter of 2024 we recorded an additional $13 million liability for MIMC’s estimated potential share of such costs. As a result, the recorded liability as of December 31, 2024 and 2023, was approximately $97 million and $85 million, respectively. MIMC’s ultimate liability could be materially different from current estimates, including potential increases resulting from MIMC’s continued engagement with the EPA regarding a final remedial design for the site. Refer to Notes 2 and 11 for additional information regarding the measurement of certain environmental liabilities.</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Other than the matter discussed below involving Stericycle’s divested Domestic Environmental Solutions business, as of the date of this filing, we are not aware of any matters that are required to be disclosed pursuant to this standard.</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8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Litigation — </w:t>
      </w:r>
      <w:r>
        <w:rPr>
          <w:rFonts w:ascii="Times New Roman" w:cs="Times New Roman" w:eastAsia="Times New Roman" w:hAnsi="Times New Roman"/>
          <w:sz w:val="18"/>
          <w:szCs w:val="18"/>
          <w:color w:val="auto"/>
        </w:rPr>
        <w:t>We are subject to various proceedings, lawsuits, disputes and claims arising in the ordinary course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9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November 4, 2024, the Company acquired Stericycle. At the time of the acquisition, Stericycle was subject to the following legal matters, which are now legal matters of our wholly-owned subsidiary.</w:t>
      </w:r>
    </w:p>
    <w:p>
      <w:pPr>
        <w:spacing w:after="0" w:line="162" w:lineRule="exact"/>
        <w:rPr>
          <w:sz w:val="20"/>
          <w:szCs w:val="20"/>
          <w:color w:val="auto"/>
        </w:rPr>
      </w:pPr>
    </w:p>
    <w:p>
      <w:pPr>
        <w:jc w:val="both"/>
        <w:ind w:left="380" w:right="59"/>
        <w:spacing w:after="0" w:line="254" w:lineRule="auto"/>
        <w:rPr>
          <w:sz w:val="20"/>
          <w:szCs w:val="20"/>
          <w:color w:val="auto"/>
        </w:rPr>
      </w:pPr>
      <w:r>
        <w:rPr>
          <w:rFonts w:ascii="Times New Roman" w:cs="Times New Roman" w:eastAsia="Times New Roman" w:hAnsi="Times New Roman"/>
          <w:sz w:val="18"/>
          <w:szCs w:val="18"/>
          <w:color w:val="auto"/>
        </w:rPr>
        <w:t>Stericycle entered into a deferred prosecution agreement (“DPA”) with the U.S. Department of Justice (“DOJ”) and a cease-and-desist order with the SEC in 2022 relating to Stericycle’s compliance with the U.S. Foreign Corrupt Practices Act and other anti-corruption laws with respect to now-divested operations in Latin America. The DPA and cease-and-desist order required Stericycle to engage an independent compliance monitor for two years, which Stericycle satisfied. Additionally, the DPA requires Stericycle to self-report any potential violations of the anti-corruption laws through November 2025. If Stericycle remains in compliance with the DPA during the remainder of the term, deferred charges against Stericycle will be dismissed with prejudice. We do not expect this matter to have any material adverse effect on the Company’s business, financial condition, results of operations or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380" w:right="59"/>
        <w:spacing w:after="0" w:line="253" w:lineRule="auto"/>
        <w:rPr>
          <w:sz w:val="20"/>
          <w:szCs w:val="20"/>
          <w:color w:val="auto"/>
        </w:rPr>
      </w:pPr>
      <w:r>
        <w:rPr>
          <w:rFonts w:ascii="Times New Roman" w:cs="Times New Roman" w:eastAsia="Times New Roman" w:hAnsi="Times New Roman"/>
          <w:sz w:val="18"/>
          <w:szCs w:val="18"/>
          <w:color w:val="auto"/>
        </w:rPr>
        <w:t>Stericycle has been cooperating with an investigation by the office of the U.S. Attorney for the Southern District of New York (“SDNY”) and the EPA into Stericycle’s historical compliance with federal environmental statutes, including the Resource Conservation and Recovery Act, in connection with the collection, transportation and disposal of hazardous waste by Stericycle’s Domestic Environmental Solutions business unit that was divested in 2020. Stericycle previously disclosed that it made an accrual in respect of this matter of approximately $10 million. In January 2025, the parties agreed on settlement terms for this matter, which are within Stericycle’s prior accrual. On January 17, 2025, the U.S. Attorney filed a complaint in the U.S. District Court for the SDNY, and on the same day, announced the settlement agreement with Stericycle that will resolve this matter upon court approval. The settlement will not have a material adverse effect on the Company’s business, financial condition, results of operations or cash flows.</w:t>
      </w:r>
    </w:p>
    <w:p>
      <w:pPr>
        <w:spacing w:after="0" w:line="194" w:lineRule="exact"/>
        <w:rPr>
          <w:sz w:val="20"/>
          <w:szCs w:val="20"/>
          <w:color w:val="auto"/>
        </w:rPr>
      </w:pPr>
    </w:p>
    <w:p>
      <w:pPr>
        <w:jc w:val="both"/>
        <w:ind w:left="380" w:right="59"/>
        <w:spacing w:after="0" w:line="252" w:lineRule="auto"/>
        <w:rPr>
          <w:sz w:val="20"/>
          <w:szCs w:val="20"/>
          <w:color w:val="auto"/>
        </w:rPr>
      </w:pPr>
      <w:r>
        <w:rPr>
          <w:rFonts w:ascii="Times New Roman" w:cs="Times New Roman" w:eastAsia="Times New Roman" w:hAnsi="Times New Roman"/>
          <w:sz w:val="18"/>
          <w:szCs w:val="18"/>
          <w:color w:val="auto"/>
        </w:rPr>
        <w:t>On February 11, 2020, Stericycle received an administrative subpoena from the U.S. Drug Enforcement Administration (“DEA”), which executed a search warrant at a facility in Rancho Cordova, California and an administrative inspection warrant at a facility in Indianapolis, Indiana for materials related to Stericycle’s now-divested Domestic Environmental Solutions business of collecting, transporting, and destroying controlled substances from retail customers (the “ESOL Retail Controlled Substances Business”). On that same day, agents from the California Department of Toxic Substances Control executed a separate search warrant at the Rancho Cordova facility. Since that time, the U.S. Attorney’s Office for the Eastern District of California (“USAO EDCA”) has been overseeing criminal and civil investigations of the ESOL Retail Controlled Substances Business. The USAO EDCA informed Stericycle that the investigations relate to Stericycle’s operation and sale of its ESOL Retail Controlled Substances Business that was divested in 2020 and has asserted that Stericycle and some of Stericycle’s current or former employees may have civil and criminal liability under the Controlled Substances Act and other federal statutes related to that business. Stericycle has been cooperating with the ongoing investigations, which are limited to the period of Stericycle’s historical operation and ownership of the ESOL Retail Controlled Substances Business from 2015 through 2020. While the ultimate disposition of this matter remains uncertain, we do not currently believe that it will have a material adverse effect on the Company’s business, financial condition, results of operations or cash flows.</w:t>
      </w:r>
    </w:p>
    <w:p>
      <w:pPr>
        <w:spacing w:after="0" w:line="19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June 2022, we and certain of our officers were named as defendants in a complaint alleging violation of the federal securities laws and seeking certification as a class action in the U.S. District Court for the Southern District of New York. A lead plaintiff has been appointed and an amended complaint was filed in January 2023. The amended complaint seeks damages on behalf of a putative class of secondary market purchasers of our senior notes with a special mandatory redemption feature issued in May 2019, asserting claims under the Securities Exchange Act based on alleged misrepresentations and omissions concerning the time for completion of our acquisition of Advanced Disposal. Our motion to dismiss is pending and we will vigorously defend against this pending suit. We believe any potential recovery by the plaintiffs, in excess of applicable deductibles, will be covered by insurance, and we do not believe that the eventual outcome of this suit will have a material adverse effect on the Company’s business, financial condition, results of operations or cash flows.</w:t>
      </w:r>
    </w:p>
    <w:p>
      <w:pPr>
        <w:spacing w:after="0" w:line="19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6"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Benefit Pension Plans — </w:t>
      </w:r>
      <w:r>
        <w:rPr>
          <w:rFonts w:ascii="Times New Roman" w:cs="Times New Roman" w:eastAsia="Times New Roman" w:hAnsi="Times New Roman"/>
          <w:sz w:val="18"/>
          <w:szCs w:val="18"/>
          <w:color w:val="auto"/>
        </w:rPr>
        <w:t>About 20% of our workforce is covered by collective bargaining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various local unions across the U.S. and Canada, and certain parts of Europe. As a result of some of these</w:t>
      </w:r>
    </w:p>
    <w:p>
      <w:pPr>
        <w:sectPr>
          <w:pgSz w:w="11900" w:h="16838" w:orient="portrait"/>
          <w:cols w:equalWidth="0" w:num="1">
            <w:col w:w="9019"/>
          </w:cols>
          <w:pgMar w:left="1440" w:top="607" w:right="1440"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agreements, certain of our subsidiaries are participating employers in a number of Multiemployer Pension Plans for the covered employees. Refer to Note 9 for additional information about our participation in Multiemployer Pension Plans considered individually significant.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9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Tax Matters — </w:t>
      </w:r>
      <w:r>
        <w:rPr>
          <w:rFonts w:ascii="Times New Roman" w:cs="Times New Roman" w:eastAsia="Times New Roman" w:hAnsi="Times New Roman"/>
          <w:sz w:val="18"/>
          <w:szCs w:val="18"/>
          <w:color w:val="auto"/>
        </w:rPr>
        <w:t>We maintain a liability for uncertain tax positions, the balance of which management believes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adequate. Results of audit assessments by taxing authorities are not currently expected to have a material adverse effect on our financial condition, results of operations or cash flows. 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In the fourth quarter of 2024, the Company filed a claim for refund of the entire amount deposited with the IRS. We expect to litigate any denial of the claim for refund. As of December 31, 2024 and 2023, the IRS deposit, net of reserve for uncertain tax positions, was classified as a component of other long-term assets in the Company’s Consolidated Balance Sheets.</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Asset Impairments and Unusual Items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Divestitures, Asset Impairments and Unusual Items, Net</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(gain) loss from divestitures, asset impairments and unusual items, net for the year ended December 31 (in millions):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divestitures,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60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212529"/>
        </w:rPr>
        <w:t>During the year ended December 31, 2024, we recognized $82 million of net charges primarily consisting of (i) a $54 million charge required to increase the estimated fair value of a liability associated with the expected disposition of an investment the Company holds in a waste diversion technology business within Corporate and Other; (ii) a $14 million loss associated with the divestiture of a minority investment in a medical waste company within Corporate and Other, in connection with our acquisition of Stericycle and (iii) a $13 million charge pertaining to reserves for loss contingencies in our Corporate and Other to adjust an indirect wholly-owned subsidiary’s estimated potential share of the liability for a proposed environmental remediation plan at a closed site, as discussed in Note 10</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we recognized $243 million of net charges primarily consisting of (i) a $168 million goodwill impairment charge within our Recycling Processing and Sales segment related to a business engaged in accelerating film and plastic wrap recycling capabilities, with $22 million attributable to noncontrolling interests. This charge was partially offset by the recognition of $46 million of income related to the reversal of a liability for contingent consideration associated with our investment in such business; (ii) $107 million of impairment charges within Corporate and Other for certain investments in waste diversion technology businesses and (iii) a $17 million charge within Corporate and Other to adjust an indirect wholly owned subsidiary’s estimated potential share of the liability for a proposed environmental remediation plan at a closed site. Refer to Notes 5 and 10 for further information.</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we recognized $62 million of net charges consisting of (i) $50 million of asset impairment charges primarily related to management’s decision to close two landfills within our East Tier and (ii) a $17 million charge pertaining to reserves for loss contingencies within Corporate and Other to adjust an indirect wholly owned subsidiary’s estimated potential share of the liability for a proposed environmental remediation plan at a closed site, as discussed in Note 10. These losses were partially offset by a $5 million gain from the divestiture of a collection and disposal business in our West Tier.</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See Note 2 for additional information related to the accounting policy and analysis involved in identifying and calculating impairments. See Note 19 for additional information related to the impact of impairments on the results of operations of our reportable segments.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Equity in Net Income (Losses) of Unconsolidated Entities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These financial statement impacts are largely related to our noncontrolling interests in entities established to invest in and manage low-income housing properties. In 2024, we adopted ASU 2023-02, and, as a result, beginning in 2024, the amortization of these investments is recognized as a component of income tax expense. We generate tax benefits, including tax credits, from the losses incurred from these investments. The losses more than offset by the tax benefits generated by these investments as further discussed in Note 8. Refer to Notes 8 and 18 for additional information related to these investments. Refer to </w:t>
      </w:r>
      <w:r>
        <w:rPr>
          <w:rFonts w:ascii="Times New Roman" w:cs="Times New Roman" w:eastAsia="Times New Roman" w:hAnsi="Times New Roman"/>
          <w:sz w:val="18"/>
          <w:szCs w:val="18"/>
          <w:i w:val="1"/>
          <w:iCs w:val="1"/>
          <w:color w:val="auto"/>
        </w:rPr>
        <w:t>(Gain) Loss from Divestitures, Asset Impairments and Unusual Items, Net</w:t>
      </w:r>
      <w:r>
        <w:rPr>
          <w:rFonts w:ascii="Times New Roman" w:cs="Times New Roman" w:eastAsia="Times New Roman" w:hAnsi="Times New Roman"/>
          <w:sz w:val="18"/>
          <w:szCs w:val="18"/>
          <w:color w:val="auto"/>
        </w:rPr>
        <w:t xml:space="preserve"> above for more information on the impairment of an equity method investment.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Accumulated Other Comprehensive Income (Loss)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changes in the balances of each component of accumulated other comprehensive income (loss), net of tax, which is included as a component of WMI stockholders’ equity, are as follows (in millions, with amounts in parentheses representing decreases to accumulated other comprehensive income):</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Post-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71"/>
              <w:spacing w:after="0" w:line="149" w:lineRule="exact"/>
              <w:rPr>
                <w:sz w:val="20"/>
                <w:szCs w:val="20"/>
                <w:color w:val="auto"/>
              </w:rPr>
            </w:pPr>
            <w:r>
              <w:rPr>
                <w:rFonts w:ascii="Times New Roman" w:cs="Times New Roman" w:eastAsia="Times New Roman" w:hAnsi="Times New Roman"/>
                <w:sz w:val="14"/>
                <w:szCs w:val="14"/>
                <w:b w:val="1"/>
                <w:bCs w:val="1"/>
                <w:color w:val="auto"/>
              </w:rPr>
              <w:t>for-Sale</w:t>
            </w:r>
          </w:p>
        </w:tc>
        <w:tc>
          <w:tcPr>
            <w:tcW w:w="120" w:type="dxa"/>
            <w:vAlign w:val="bottom"/>
          </w:tcPr>
          <w:p>
            <w:pPr>
              <w:spacing w:after="0"/>
              <w:rPr>
                <w:sz w:val="12"/>
                <w:szCs w:val="12"/>
                <w:color w:val="auto"/>
              </w:rPr>
            </w:pPr>
          </w:p>
        </w:tc>
        <w:tc>
          <w:tcPr>
            <w:tcW w:w="8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Securities(a)</w:t>
            </w:r>
          </w:p>
        </w:tc>
        <w:tc>
          <w:tcPr>
            <w:tcW w:w="9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reclassifications, net of tax expense (benefit) of $0, $(8), $0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$0, respectively</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(income) loss, net of tax (expense) benefit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 $1, $0, $0 and $0, respectively</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8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reclassifications, net of tax expense (benefit) of $5, $(4), $0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$2, respectively</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(income) loss, net of tax (expense) benefit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 $(1), $0, $0 and $0, respectively</w:t>
            </w:r>
          </w:p>
        </w:tc>
        <w:tc>
          <w:tcPr>
            <w:tcW w:w="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reclassifications, net of tax expense (benefit) of $10, $3, $0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$0, respectively</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(income) loss, net of tax (expense) benefit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 $1, $0, $0 and $0, respectively</w:t>
            </w:r>
          </w:p>
        </w:tc>
        <w:tc>
          <w:tcPr>
            <w:tcW w:w="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79" w:hanging="330"/>
        <w:spacing w:after="0" w:line="282"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recognized a $23 million unrealized loss, net of a deferred tax benefit of $8 million, associated with our investment in redeemable preferred stock due to the estimated fair value being less than the remaining carrying value.</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Capital Stock, Dividends and Common Stock Repurchase Program</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Capital Stock</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have 1.5 billion shares of authorized common stock with a par value of $0.01 per common share. As of December 31, 2024, we had 401.5 million shares of common stock issued and outstanding. The Board of Directors is authorized to issue preferred stock in series, and with respect to each series, to fix its designation, relative rights (including voting, dividend, conversion, sinking fund, and redemption rights), preferences (including dividends and liquidation) and limitations. We have 10 million shares of authorized preferred stock, $0.01 par value, none of which is currently outstanding.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quarterly dividends have been declared by our Board of Directors. Cash dividends declared and paid were $1,210 million in 2024, or $3.00 per common share, $1,136 million in 2023, or $2.80 per common share, and $1,077 million in 2022, or $2.60 per common share.</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December 2024, we announced that our Board of Directors expects to increase the quarterly dividend from $0.75 to $0.825 per share for dividends declared in 2025. However, all future dividend declarations are at the discretion of our Board of Directors and depend on various factors, including our net earnings, financial condition, cash required for future business plans, growth and acquisitions and other factors the Board of Directors may deem relevant.</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repurchases shares of its common stock as part of capital allocation programs authorized by our Board of Directors. Share repurchases are a part of our long-term strategy and incorporated into our overall capital allocation plan to enhance our Company’s performance, in conjunction with our other uses of capital, and to return value to stockholders in a tax-efficient manner. Share repurchases during the reported periods were completed through accelerated share repurchase (“ASR”) agreements and, to a lesser extent, open market transactions. The terms of these ASR agreements required that we deliver cash at the beginning of each ASR repurchase period. In exchange, we received a portion of the total shares expected to be repurchased based on the then-current market price of our common stock. The remaining shares repurchased over the course of each repurchase period are delivered to us once the repurchase period is complete. In the table below, shares repurchased are measured and reported based on the period shares are delivered to us, which can differ from the period cash is delivered to a repurchase agent for the value of such shares. The following is a summary of our share repurchases under our common stock repurchase program for the year ended December 31:</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200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2024(a)</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2023(b)</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2022(c)</w:t>
            </w:r>
          </w:p>
        </w:tc>
      </w:tr>
      <w:tr>
        <w:trPr>
          <w:trHeight w:val="210"/>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repurchased (in thousands)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w:t>
            </w: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price per share</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160.26</w:t>
            </w: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repurchases (in millions)</w:t>
            </w:r>
          </w:p>
        </w:tc>
        <w:tc>
          <w:tcPr>
            <w:tcW w:w="1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0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bl>
    <w:p>
      <w:pPr>
        <w:spacing w:after="0" w:line="63" w:lineRule="exact"/>
        <w:rPr>
          <w:sz w:val="20"/>
          <w:szCs w:val="20"/>
          <w:color w:val="auto"/>
        </w:rPr>
      </w:pPr>
    </w:p>
    <w:p>
      <w:pPr>
        <w:jc w:val="both"/>
        <w:ind w:left="380" w:right="79" w:hanging="330"/>
        <w:spacing w:after="0" w:line="266" w:lineRule="auto"/>
        <w:tabs>
          <w:tab w:leader="none" w:pos="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executed and completed one ASR agreement during 2024 to repurchase $250 million of our common stock and received 1.2 million shares in connection with this ASR agreement. In February 2024, we also received 0.2 million shares pursuant to our October 2023 ASR agreement based on a final weighted average price of $175.29.</w:t>
      </w:r>
    </w:p>
    <w:p>
      <w:pPr>
        <w:spacing w:after="0" w:line="67" w:lineRule="exact"/>
        <w:rPr>
          <w:rFonts w:ascii="Times New Roman" w:cs="Times New Roman" w:eastAsia="Times New Roman" w:hAnsi="Times New Roman"/>
          <w:sz w:val="18"/>
          <w:szCs w:val="18"/>
          <w:color w:val="auto"/>
        </w:rPr>
      </w:pPr>
    </w:p>
    <w:p>
      <w:pPr>
        <w:jc w:val="both"/>
        <w:ind w:left="380" w:right="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repurchased an additional 0.1 million shares of our common stock in open market transactions in compliance with Rule 10b5-1 and Rule 10b 18 of the Securities Exchange Act of 1934 (“Exchange Act”) for $12 million, inclusive of per-share commission.</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56" w:lineRule="auto"/>
        <w:tabs>
          <w:tab w:leader="none" w:pos="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executed and completed three ASR agreements during 2023 to repurchase $950 million of our common stock and received 6.0 million shares in connection with these ASR agreements. Additionally, in October 2023, we executed an ASR agreement to repurchase $300 million of our common stock. At the beginning of the repurchase period, we delivered $300 million in cash and received 1.5 million shares based on a stock price of $161.38. The ASR agreement completed in February 2024, at which time we received 0.2 million additional shares based on a final weighted average price of $175.29.</w:t>
      </w:r>
    </w:p>
    <w:p>
      <w:pPr>
        <w:spacing w:after="0" w:line="79" w:lineRule="exact"/>
        <w:rPr>
          <w:rFonts w:ascii="Times New Roman" w:cs="Times New Roman" w:eastAsia="Times New Roman" w:hAnsi="Times New Roman"/>
          <w:sz w:val="18"/>
          <w:szCs w:val="18"/>
          <w:color w:val="auto"/>
        </w:rPr>
      </w:pPr>
    </w:p>
    <w:p>
      <w:pPr>
        <w:ind w:left="380" w:right="7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repurchased an additional 0.3 million shares of our common stock in open market transactions in compliance with Rule 10b5-1 and Rule 10b 18 of the Securities Exchange Act of 1934 (“Exchange Act”) for $52 million, inclusive of per-share commissions.</w:t>
      </w:r>
    </w:p>
    <w:p>
      <w:pPr>
        <w:spacing w:after="0" w:line="67" w:lineRule="exact"/>
        <w:rPr>
          <w:rFonts w:ascii="Times New Roman" w:cs="Times New Roman" w:eastAsia="Times New Roman" w:hAnsi="Times New Roman"/>
          <w:sz w:val="18"/>
          <w:szCs w:val="18"/>
          <w:color w:val="auto"/>
        </w:rPr>
      </w:pPr>
    </w:p>
    <w:p>
      <w:pPr>
        <w:ind w:left="380" w:right="15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which was enacted into law on August 16, 2022, imposed a nondeductible 1% excise tax on the net value of certain stock repurchases made after December 31, 2022. We reflected the applicable excise tax in treasury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right="299"/>
        <w:spacing w:after="0" w:line="282" w:lineRule="auto"/>
        <w:rPr>
          <w:sz w:val="20"/>
          <w:szCs w:val="20"/>
          <w:color w:val="auto"/>
        </w:rPr>
      </w:pPr>
      <w:r>
        <w:rPr>
          <w:rFonts w:ascii="Times New Roman" w:cs="Times New Roman" w:eastAsia="Times New Roman" w:hAnsi="Times New Roman"/>
          <w:sz w:val="18"/>
          <w:szCs w:val="18"/>
          <w:color w:val="auto"/>
        </w:rPr>
        <w:t>as part of the cost basis of the stock repurchased. The above discussion of our common stock repurchases in 2023 is excluding the 1% excise tax.</w:t>
      </w:r>
    </w:p>
    <w:p>
      <w:pPr>
        <w:spacing w:after="0" w:line="54" w:lineRule="exact"/>
        <w:rPr>
          <w:sz w:val="20"/>
          <w:szCs w:val="20"/>
          <w:color w:val="auto"/>
        </w:rPr>
      </w:pPr>
    </w:p>
    <w:p>
      <w:pPr>
        <w:jc w:val="both"/>
        <w:ind w:left="380" w:right="79" w:hanging="330"/>
        <w:spacing w:after="0" w:line="256" w:lineRule="auto"/>
        <w:tabs>
          <w:tab w:leader="none" w:pos="3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executed and completed four ASR agreements during 2022 to repurchase $1.417 billion of our common stock and received 8.8 million shares in connection with these ASR agreements. We also repurchased an additional 0.6 million shares of our common stock in open market transactions in compliance with Rule 10b5-1 and Rule 10b 18 of the Exchange Act for $83 million, inclusive of per-share commissions. Shares repurchased in 2022 include 0.4 million shares of our common stock for $70 million pursuant to our December 2021 ASR agreement that completed in January 2022.</w:t>
      </w:r>
    </w:p>
    <w:p>
      <w:pPr>
        <w:spacing w:after="0" w:line="7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Stericycle acquisition, the Company has temporarily suspended share repurchases. We expect to resume share repurchase once the Company’s leverage returns to targeted levels, which is currently projected to be about 18 months after the November 2024 acquisition of Stericycle.</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Equity-Based Compensation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have an Employee Stock Purchase Plan (“ESPP”) under which employees that have been employed for at least 30 days may purchase shares of our common stock at a discount. The plan provides for two offering periods for purchases: January through June and July through December. At the end of each offering period, enrolled employees purchase shares of our common stock at a price equal to 85% of the market value on the last day of the applicable offering period. The purchases are made at the end of an offering period with funds accumulated through payroll deductions over the course of the offering period. Subject to limitations set forth in the plan and under IRS regulations, eligible employees may elect to have up to 10% of their base pay deducted during the offering period. The total number of shares issued under the plan for the offering periods in 2024, 2023 and 2022 was approximately 408,000, 473,000 and 455,000, respectively. After the January 2025 issuance of shares associated with the July to December 2024 offering period, 1.4 million shares remain available for issuance under the ESPP.</w:t>
      </w:r>
    </w:p>
    <w:p>
      <w:pPr>
        <w:spacing w:after="0" w:line="194"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a result of our ESPP, annual compensation expense increased by $11 million, or $8 million net of tax expense, for 2024, $14 million, or $11 million net of tax expense, for 2023 and $13 million, or $10 million net of tax expense, for 2022.</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Incentive Plans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May 2023, our stockholders approved our 2023 Stock Incentive Plan (the “2023 Plan”) to replace our 2014 Stock Incentive Plan (the “2014 Plan”). Upon approval of the 2023 Plan, no further awards could be granted under the 2014 Plan, and the 15.2 million shares of our common stock that were previously available for issuance under the 2014 Plan became available for issuance under the 2023 Plan, in addition to any shares of our common stock that were subject to outstanding awards under the 2014 Plan that subsequently cease to be subject to such awards as a result of the forfeiture, cancellation or termination. We did not request that our stockholders approve any shares in addition to the shares that roll over from the 2014 Plan for issuance pursuant to the 2023 Plan. As of December 31, 2024, approximately 13.5 million shares were available for future grants under the 2023 Plan. Our equity-based compensation awards described herein have been made pursuant to our 2023 Plan or our 2014 Plan (collectively, the “Incentive Plans”). We currently utilize treasury shares to meet the needs of our equity-based compensation programs.</w:t>
      </w:r>
    </w:p>
    <w:p>
      <w:pPr>
        <w:spacing w:after="0" w:line="19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Pursuant to the 2023 Plan, we can issue cash awards, stock options, stock appreciation rights, phantom stock and stock awards, including restricted stock, restricted stock units (“RSUs”) and performance share units (“PSUs”). The terms and conditions of equity awards granted under the Incentive Plans are determined by the Management Development and Compensation Committee of our Board of Directors.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2024 annual stock incentive plan awards granted to the Company’s senior leadership team, which generally includes the Company’s executive officers, included a combination of PSUs and stock options. Awards granted to other eligible employees under the Incentive Plans included a combination of PSUs, RSUs and stock options in 2024. The Company also periodically grants RSUs to employees working on key initiatives, in connection with new hires and promotions and to field and corporate managers.</w:t>
      </w:r>
    </w:p>
    <w:p>
      <w:pPr>
        <w:spacing w:after="0" w:line="18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Upon our acquisition of Stericycle on November 4, 2024, each outstanding award of Stericycle RSUs and PSUs held by an employee of Stericycle that continued their employment with us was assumed by us and converted into new RSU awards granted pursuant to the 2023 Plan (the “Replacement RSUs”). The number of Replacement RSUs issued was calculated by multiplying the number of Stericycle RSUs and PSUs by a conversion factor of 0.289171, which represents the $62.00 per share consideration for the Stericycle acquisition divided by the average of the closing sales price of a share or our common stock for each of the five consecutive trading days before the closing. The Replacement RSUs pay out in shares of our common stock and are subject to substantially the same terms and conditions as were applicable to the corresponding Stericycle RSUs. Stericycle RSUs and PSUs held by employees who did not continue their employment with us, and all employee stock options, were cancelled and converted into a right to receive cash immediately upon closing of the acquisition.</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Restricted Stock Units — </w:t>
      </w:r>
      <w:r>
        <w:rPr>
          <w:rFonts w:ascii="Times New Roman" w:cs="Times New Roman" w:eastAsia="Times New Roman" w:hAnsi="Times New Roman"/>
          <w:sz w:val="18"/>
          <w:szCs w:val="18"/>
          <w:color w:val="auto"/>
        </w:rPr>
        <w:t>A summary of our RSUs is presented in the table below (units in thousands):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00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73"/>
        </w:trPr>
        <w:tc>
          <w:tcPr>
            <w:tcW w:w="65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January 1,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209.86</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Borders>
              <w:bottom w:val="single" w:sz="8" w:color="CCEEFF"/>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163.18</w:t>
            </w:r>
          </w:p>
        </w:tc>
        <w:tc>
          <w:tcPr>
            <w:tcW w:w="0" w:type="dxa"/>
            <w:vAlign w:val="bottom"/>
          </w:tcPr>
          <w:p>
            <w:pPr>
              <w:spacing w:after="0"/>
              <w:rPr>
                <w:sz w:val="1"/>
                <w:szCs w:val="1"/>
                <w:color w:val="auto"/>
              </w:rPr>
            </w:pPr>
          </w:p>
        </w:tc>
      </w:tr>
      <w:tr>
        <w:trPr>
          <w:trHeight w:val="210"/>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38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total fair market value of RSUs that vested during the years ended December 31, 2024, 2023 and 2022 was $25 million, $15 million and $15 million, respectively. During the year ended December 31, 2024, we issued approximately 86,000 shares of common stock for these vested RSUs, net of approximately 36,000 units deferred or used for payment of associated taxes.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RSUs may not be voted or sold by award recipients until time-based vesting restrictions have lapsed. RSUs currently outstanding primarily provide for three-year cliff vesting and include dividend equivalents accumulated during the vesting period. Unvested units are subject to forfeiture in the event of voluntary or for-cause termination. RSUs are generally subject to pro-rata vesting upon an employee’s involuntary termination other than for cause and generally payout at the end of the three-year vesting period and become immediately vested in the event of an employee’s death or disability.</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Compensation expense associated with RSUs is measured based on the grant-date fair value of our common stock and is recognized on a straight-line basis over the required employment period. RSUs generally continue to vest following a qualifying retirement as if the employee had remained employed until the end of the vesting period, and compensation expense for RSUs granted to retirement eligible employees is recognized over the longer of (i) the period between grant date and the date that the recipient becomes retirement-eligible or (ii) the defined service requirement of the award. Compensation expense is only recognized for those awards that we expect to vest, which we estimate based upon an assessment of expected forfeitures.</w:t>
      </w:r>
    </w:p>
    <w:p>
      <w:pPr>
        <w:spacing w:after="0" w:line="187"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Share Units — </w:t>
      </w:r>
      <w:r>
        <w:rPr>
          <w:rFonts w:ascii="Times New Roman" w:cs="Times New Roman" w:eastAsia="Times New Roman" w:hAnsi="Times New Roman"/>
          <w:sz w:val="18"/>
          <w:szCs w:val="18"/>
          <w:color w:val="auto"/>
        </w:rPr>
        <w:t>Two types of PSUs are currently outstanding: (i) PSUs for which payout is dependent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shareholder return relative to the S&amp;P 500 Index (“TSR PSUs”) and (ii) PSUs for which payout is dependent on the Company’s performance against pre-established adjusted cash flow metrics (“Cash Flow PSUs”). Both types of PSUs are</w:t>
      </w:r>
    </w:p>
    <w:p>
      <w:pPr>
        <w:sectPr>
          <w:pgSz w:w="11900" w:h="16838" w:orient="portrait"/>
          <w:cols w:equalWidth="0" w:num="1">
            <w:col w:w="9019"/>
          </w:cols>
          <w:pgMar w:left="1440" w:top="607"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payable in shares of common stock after the end of a three-year performance period, when the Company’s financial performance for the entire performance period is reported, typically in the first half of the first quarter of the succeeding year. At the end of the performance period, the number of shares awarded can range from 0% to 200% of the targeted amount, depending on the performance against the pre-established targets. A summary of our PSUs, at 100% of the targeted amount, is presented in the table below (units in thousands):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2"/>
                <w:szCs w:val="12"/>
                <w:color w:val="auto"/>
              </w:rPr>
            </w:pPr>
          </w:p>
        </w:tc>
        <w:tc>
          <w:tcPr>
            <w:tcW w:w="960" w:type="dxa"/>
            <w:vAlign w:val="bottom"/>
          </w:tcPr>
          <w:p>
            <w:pPr>
              <w:jc w:val="right"/>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January 1,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200.21</w:t>
            </w: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195.49</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determination of achievement of performance results and corresponding vesting of PSUs for the three-year performance period ended December 31, 2024 was performed by the Management Development and Compensation Committee of our Board of Directors in January 2025. Accordingly, vesting information for such awards is not included in the table above as of December 31, 2024. The “vested” PSUs are for the three-year performance period ended December 31, 2023, as achievement of performance results and corresponding vesting was determined in February 2024. The performance of the Company’s common stock for purposes of the TSR PSUs and the Cash Flow PSUs exceeded maximum performance criteria. Accordingly, recipients of the PSU awards received a payout of 200% of the vested TSR PSUs and 200% of the vested Cash Flow PSUs. In February 2024, approximately 617,000 PSUs vested and we issued approximately 406,000 shares of common stock for these vested PSUs, net of units deferred or used for payment of associated taxes. The shares of common stock that were issued or deferred during the years ended December 31, 2024, 2023 and 2022 for prior PSU award grants had a fair market value of $121 million, $74 million and $91 million, respectively.</w:t>
      </w:r>
    </w:p>
    <w:p>
      <w:pPr>
        <w:spacing w:after="0" w:line="200" w:lineRule="exact"/>
        <w:rPr>
          <w:sz w:val="20"/>
          <w:szCs w:val="20"/>
          <w:color w:val="auto"/>
        </w:rPr>
      </w:pPr>
    </w:p>
    <w:p>
      <w:pPr>
        <w:spacing w:after="0" w:line="20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PSUs have no voting rights. PSUs receive dividend equivalents that are paid out in cash based on the number of shares that vest at the end of the awards’ performance period. Subject to attainment of the performance metrics described above, PSUs are payable to an employee (or applicable beneficiary) upon death or disability as if that employee had remained employed until the end of the performance period. PSUs are generally subject to pro-rata vesting upon an employee’s involuntary termination other than for cause and are subject to forfeiture in the event of voluntary or for-cause termination. PSUs generally continue to vest following a qualifying retirement as if the employee had remained employed until the end of the performance period, and compensation expense for PSUs granted to retirement-eligible employees is accelerated over the period that the recipient becomes retirement-eligible plus a defined service requirement.</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Compensation expense associated with our Cash Flow PSUs is based on the grant-date fair value of our common stock.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expected forfeitures. The grant-date fair value of our TSR PSUs is based on a Monte Carlo valuation and compensation expense is recognized on a straight-line basis over the vesting period. Compensation expense is recognized for all TSR PSUs whether or not the market conditions are achieved less expected forfeitures.</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Deferred Units — </w:t>
      </w:r>
      <w:r>
        <w:rPr>
          <w:rFonts w:ascii="Times New Roman" w:cs="Times New Roman" w:eastAsia="Times New Roman" w:hAnsi="Times New Roman"/>
          <w:sz w:val="18"/>
          <w:szCs w:val="18"/>
          <w:color w:val="auto"/>
        </w:rPr>
        <w:t>Certain employees can elect to defer some or all of the vested RSU or PSU awards for payout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after the employee leaves the Company. Deferred units are not invested, nor do they earn interest, but deferred amounts do receive dividend equivalents paid in cash during deferral at the same time and at the same rate as dividends on the Company’s common stock. Deferred amounts are paid out in shares of common stock at the end of the deferral period. As of December 31, 2024, we had approximately 183,000 vested deferred units outstanding.</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Options — </w:t>
      </w:r>
      <w:r>
        <w:rPr>
          <w:rFonts w:ascii="Times New Roman" w:cs="Times New Roman" w:eastAsia="Times New Roman" w:hAnsi="Times New Roman"/>
          <w:sz w:val="18"/>
          <w:szCs w:val="18"/>
          <w:color w:val="auto"/>
        </w:rPr>
        <w:t>Stock option awards vest ratably in three annual increments, beginning on the first anniversary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grant. The exercise price of the options is the average of the high and low market value of our common stock on the date of grant, and the options have a term of 10 years. A summary of our stock options is presented in the table below (options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43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149.97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 (b)</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2024 (c)</w:t>
            </w: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0" w:type="dxa"/>
            <w:vAlign w:val="bottom"/>
          </w:tcPr>
          <w:p>
            <w:pPr>
              <w:spacing w:after="0" w:line="20" w:lineRule="exact"/>
              <w:rPr>
                <w:sz w:val="1"/>
                <w:szCs w:val="1"/>
                <w:color w:val="auto"/>
              </w:rPr>
            </w:pPr>
          </w:p>
        </w:tc>
      </w:tr>
      <w:tr>
        <w:trPr>
          <w:trHeight w:val="197"/>
        </w:trPr>
        <w:tc>
          <w:tcPr>
            <w:tcW w:w="6560" w:type="dxa"/>
            <w:vAlign w:val="bottom"/>
            <w:gridSpan w:val="3"/>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1,596</w:t>
            </w:r>
          </w:p>
        </w:tc>
        <w:tc>
          <w:tcPr>
            <w:tcW w:w="32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79" w:hanging="330"/>
        <w:spacing w:after="0" w:line="266" w:lineRule="auto"/>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approximately 118,000 stock options exercised pursuant to written trading plans that provided for net share settlement, resulting in the Company withholding approximately 89,000 shares of our common stock to cover the associated stock option exercise price and taxes.</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outstanding as of December 31, 2024 have a weighted average remaining contractual term of 5.9 years and an aggregate intrinsic value of $174 million based on the market value of our common stock on December 31, 2024.</w:t>
      </w:r>
    </w:p>
    <w:p>
      <w:pPr>
        <w:spacing w:after="0" w:line="6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exercisable as of December 31, 2024 have an aggregate intrinsic value of $152 million based on the market value of our common stock on December 31, 2024.</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2024, 2023 and 2022, we received cash proceeds of $53 million, $44 million and $44 million, respectively, from the exercise of 693,000, 597,000 and 675,000 of employee stock options. The aggregate intrinsic value of stock options exercised during 2024, 2023 and 2022 was $75 million, $44 million and $51 million, respectively.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Stock options exercisable as of December 31, 2024 were as follows (options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68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20" w:type="dxa"/>
            <w:vAlign w:val="bottom"/>
            <w:gridSpan w:val="3"/>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Years</w:t>
            </w:r>
          </w:p>
        </w:tc>
        <w:tc>
          <w:tcPr>
            <w:tcW w:w="0" w:type="dxa"/>
            <w:vAlign w:val="bottom"/>
          </w:tcPr>
          <w:p>
            <w:pPr>
              <w:spacing w:after="0"/>
              <w:rPr>
                <w:sz w:val="1"/>
                <w:szCs w:val="1"/>
                <w:color w:val="auto"/>
              </w:rPr>
            </w:pPr>
          </w:p>
        </w:tc>
      </w:tr>
      <w:tr>
        <w:trPr>
          <w:trHeight w:val="209"/>
        </w:trPr>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$54.64</w:t>
            </w:r>
          </w:p>
        </w:tc>
        <w:tc>
          <w:tcPr>
            <w:tcW w:w="49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$85.34</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$85.35</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$110.80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$110.81 - $204.76</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0"/>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$54.64</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$204.76</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All unvested stock options shall become exercisable upon the award recipient’s death or disability. In the event of a recipient’s qualifying retirement, stock options shall continue to vest pursuant to the original schedule set forth in the award agreement. If the recipient is terminated by the Company without cause or voluntarily resigns, the recipient shall be entitled to exercise all stock options outstanding and exercisable within a specified time frame after such termination. All outstanding stock options, whether exercisable or not, are forfeited upon termination for cause.</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account for our employee stock options under the fair value method of accounting using a Black-Scholes valuation model to measure stock option expense at the date of grant. The weighted average grant-date fair value of stock options granted during the years ended December 31, 2024, 2023 and 2022 was $43.00, $32.82 and $26.44, respectively. The fair value of stock options at the date of grant is amortized to expense over the vesting period less expected forfeitures, except for stock options granted to retirement-eligible employees, for which expense is accelerated over the period that the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recipient becomes retirement-eligible. The following table presents the weighted average assumptions used to value employee stock options granted during the year ended December 31 under the Black-Scholes valuation model:</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option life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years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years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years</w:t>
            </w: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1.8 %</w:t>
            </w:r>
          </w:p>
        </w:tc>
      </w:tr>
      <w:tr>
        <w:trPr>
          <w:trHeight w:val="23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bases its expected option life on the expected exercise and termination behavior of its optionees and an appropriate model of the Company’s future stock price. The expected volatility assumption is derived from the historical volatility of the Company’s common stock over the most recent period commensurate with the estimated expected life of the Company’s stock options, combined with other relevant factors including implied volatility in market-traded options on the Company’s stock. The expected dividend yield is the annual rate of dividends per share over the exercise price of the option as of the grant date.</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2023 and 2022, we recognized $99 million, $78 million and $71 million, respectively, of compensation expense associated with RSU, PSU and stock option awards as a component of selling, general and administrative expenses in our Consolidated Statements of Operations. Our income tax expense for the years ended December 31, 2024, 2023 and 2022 includes related income tax benefits of $18 million, $15 million and $14 million, respectively. We have not capitalized any equity-based compensation costs during the reported periods.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we estimate that $49 million of currently unrecognized compensation expense will be recognized over a weighted average period of 1.7 years for our unvested RSU, PSU and stock option awards issued and outstanding.</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Plan</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Our non-employee directors receive annual grants of shares of our common stock, generally payable in two equal installments, under the Incentive Plans described above. Each non-employee director is required to hold all shares issued pursuant to a Company stock award, after the sale of shares necessary to cover applicable taxes, until retirement or other termination of service as a director of the Company.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Basic and diluted earnings per share were computed using the following common share data for the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(shares in millions):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common shares outstanding at end of period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Dilutive effect of equity-based compensation awards and other contingently issuable</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Potentially issuable shares</w:t>
            </w: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40" w:type="dxa"/>
            <w:vAlign w:val="bottom"/>
            <w:gridSpan w:val="2"/>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8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20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of anti-dilutive potentially issuable shares excluded from diluted common</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outstanding</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864"/>
        </w:trPr>
        <w:tc>
          <w:tcPr>
            <w:tcW w:w="644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130</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the Consolidated Statements of Operations for net income attributable to Waste Management,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Accounted for at Fair Value</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in an orderly transaction between market participants at the measurement date. When measuring assets and liabilities that are required to be recorded at fair value, the Company considers the principal or most advantageous market in which the Company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Quoted prices in active markets for identical assets or liabilities.</w:t>
      </w:r>
    </w:p>
    <w:p>
      <w:pPr>
        <w:spacing w:after="0" w:line="117" w:lineRule="exact"/>
        <w:rPr>
          <w:sz w:val="20"/>
          <w:szCs w:val="20"/>
          <w:color w:val="auto"/>
        </w:rPr>
      </w:pPr>
    </w:p>
    <w:p>
      <w:pPr>
        <w:jc w:val="both"/>
        <w:ind w:left="30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Observable inputs other than quoted prices in active markets for identical assets and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identical or similar assets or liabilities in inactive markets, or other inputs that are observable or can be corroborated by observable market data for substantially the full term of the assets or liabilities.</w:t>
      </w:r>
    </w:p>
    <w:p>
      <w:pPr>
        <w:spacing w:after="0" w:line="65" w:lineRule="exact"/>
        <w:rPr>
          <w:sz w:val="20"/>
          <w:szCs w:val="20"/>
          <w:color w:val="auto"/>
        </w:rPr>
      </w:pPr>
    </w:p>
    <w:p>
      <w:pPr>
        <w:jc w:val="both"/>
        <w:ind w:left="300" w:right="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Inputs that are generally unobservable and typically reflect management’s estimate of assumptions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participants would use in pricing the asset or liability.</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Our assets and liabilities that are measured at fair value on a recurring basis include the following as of December 31 (in millions):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9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Quoted prices in active markets (Level 1):</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 and money market funds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10"/>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0"/>
        </w:trPr>
        <w:tc>
          <w:tcPr>
            <w:tcW w:w="6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Equivalents and Money Market Funds</w:t>
      </w:r>
    </w:p>
    <w:p>
      <w:pPr>
        <w:spacing w:after="0" w:line="22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Cash equivalents primarily include short-term interest-bearing instruments with maturities of three months or less. We invest portions of our restricted trust funds in money market funds and we measure the fair value of these investments using quoted prices in active markets for identical assets. The fair value of our cash equivalents and money market funds approximates our cost basis in these instruments.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Equity Securities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invest portions of our restricted trust funds in equity securities and we measure the fair value of these securities using quoted prices in active markets for identical assets. Any changes in fair value of these securities related to unrealized gains and losses have been appropriately reflected as a component of other income (expense).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Available-for-Sale Securities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available-for-sale securities include restricted trust funds and investments in unconsolidated entities as discussed in Note 18. We invest primarily in debt securities, including U.S. Treasury securities, U.S. agency securities, municipal securities and mortgage- and asset-backed securities, which generally mature over the next ten years. We measure the fair value of these securities using quoted prices for identical or similar assets in inactive markets. Any changes in fair value of these trusts related to unrealized gains and losses have been appropriately reflected as a component of accumulated other comprehensive income (loss).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carrying value of our debt was $23.9 billion and $16.2 billion, respectively. The estimated fair value of our debt was approximately $22.9 billion and $15.6 billion as of December 31, 2024 and 2023, respectively.</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December 31, 2024 and 2023. These amounts have not been revalued since those dates, and current estimates of fair value could differ significantly from the amounts presented.</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See Note 11 for information related to our nonrecurring fair value measurements. See Note 17 for information related to the nonrecurring fair value measurement of assets and liabilities acquired in connection with our acquisition of Stericycle.</w:t>
      </w: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Acquisitions and Divestitures</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Stericycle Acquisition</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June 3, 2024, we entered into an Agreement and Plan of Merger (the “Merger Agreement”) to acquire all outstanding shares of Stericycle for $62.00 per share in cash, representing a total enterprise value of approximately $7.2 billion (net of cash acquired) when including the assumption of $0.5 billion of debt and the repayment of approximately $0.8 billion of net debt. The acquisition expands our offerings in the U.S., Canada and parts of Western Europe by providing RWCS and SID services that protect people and brands, promote health and well-being and safeguard the environment. The transaction closed on November 4, 2024 and was funded using borrowings under our Term Credit Agreement, commercial paper program and available cash on hand. Shortly thereafter, we repaid all outstanding borrowings under our Term Credit Agreement with net proceeds from our November 2024 issuance of $5.2 billion of senior notes.</w:t>
      </w:r>
    </w:p>
    <w:p>
      <w:pPr>
        <w:spacing w:after="0" w:line="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incurred acquisition and integration related costs of approximately $160 million, which were primarily classified as “Selling, general and administrative expenses.” The post-closing operating results of Stericycle have been included in our consolidated financial statements, within our new reportable WM Healthcare Solutions segment. Post-closing through December 31, 2024, Stericycle recognized $403 million, $244 million and $155 million of operating revenue, operating expenses and selling, general and administrative expenses, respectively, which are net of intercompany transactions and included in our Consolidated Statements of Operations.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have not been retroactively restated to include Stericycle’s historical financial position or results of operations. The acquisition is accounted for as a business combination. In accordance with the purchase method of accounting, the purchase price paid has been allocated to the assets and liabilities acquired based upon their estimated fair values as of the acquisition date, with the excess of the purchase price over the net assets acquired recorded as goodwill. We are in the process of valuing all of the assets and liabilities acquired in the acquisition, and, until we have completed our valuation process, there may be adjustments to our estimates of fair value and resulting preliminary purchase price allocation.</w:t>
      </w:r>
    </w:p>
    <w:p>
      <w:pPr>
        <w:spacing w:after="0" w:line="8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used the following valuation techniques for the following significant accounts in which carrying value did not approximate fair value: (i) property and equipment were valued primarily using the cost approach with significant assumptions including replacement cost, trend indices, and normal useful lives; (ii) customer relationship assets were valued using the multi-period excess earnings method with significant assumptions including projected revenue, attrition rate, operating expense, selling and general administrative expenses, and discount rate; (iii) indefinite trade name assets were valued using the relief from royalty method with significant assumptions including revenue attributable to the trade names and royalty rates and (iv) permit assets were valued using the cost to recreate method with significant assumptions including costs required to obtain the permits and the opportunity costs if the permits were not in place on the acquisition date.</w:t>
      </w:r>
    </w:p>
    <w:p>
      <w:pPr>
        <w:spacing w:after="0" w:line="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fair values for property and equipment and intangibles were based on significant inputs that are not observable in the market and thus represent a Level 3 measurement in the fair value hierarchy. The WM Notes were valued using observable market prices which represent a Level 1 measurement in the fair value hierarchy.</w:t>
      </w:r>
    </w:p>
    <w:p>
      <w:pPr>
        <w:spacing w:after="0" w:line="6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estimates and assumptions are subject to change during the measurement period, not to exceed one year from the acquisition date. The areas of acquisition accounting that are not yet finalized primarily relate to (i) finalizing the review and valuation of trade names, permits, customer relationships, and certain property plant and equipment and other intangibles (including the models, key assumptions, estimates and inputs used) and assignment of remaining useful lives associated with the depreciable and amortizable assets and (ii) finalizing the review and valuation of accounts receivable, accrued expenses, contingent liabilities, deferred taxes and goodwill (including key assumptions, inputs and estimates).</w:t>
      </w:r>
    </w:p>
    <w:p>
      <w:pPr>
        <w:spacing w:after="0" w:line="7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Goodwill of $3.6 billion was calculated as the excess of the consideration paid over the net assets recognized and represents the future economic benefits expected to arise from other assets acquired that could not be individually identified and separately recognized and from synergies of the combination. All of the goodwill was provisionally assigned to the WM Healthcare Solutions segment. We have not yet completed the assignment of goodwill to our reporting units as of December 31, 2024. Substantially all of the goodwill is not deductible for income tax purposes.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the preliminary purchase price allocation (in millions):</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Borders>
              <w:bottom w:val="single" w:sz="8" w:color="CCEEFF"/>
            </w:tcBorders>
          </w:tcPr>
          <w:p>
            <w:pPr>
              <w:spacing w:after="0"/>
              <w:rPr>
                <w:sz w:val="15"/>
                <w:szCs w:val="15"/>
                <w:color w:val="auto"/>
              </w:rPr>
            </w:pPr>
          </w:p>
        </w:tc>
        <w:tc>
          <w:tcPr>
            <w:tcW w:w="41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November 4, 2024</w:t>
            </w:r>
          </w:p>
        </w:tc>
      </w:tr>
      <w:tr>
        <w:trPr>
          <w:trHeight w:val="210"/>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and other receivables (a)</w:t>
            </w:r>
          </w:p>
        </w:tc>
        <w:tc>
          <w:tcPr>
            <w:tcW w:w="4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43"/>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supplies</w:t>
            </w:r>
          </w:p>
        </w:tc>
        <w:tc>
          <w:tcPr>
            <w:tcW w:w="46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for sale (b)</w:t>
            </w:r>
          </w:p>
        </w:tc>
        <w:tc>
          <w:tcPr>
            <w:tcW w:w="46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4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4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43"/>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r>
      <w:tr>
        <w:trPr>
          <w:trHeight w:val="24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4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r>
      <w:tr>
        <w:trPr>
          <w:trHeight w:val="243"/>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4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43"/>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6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4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revenues</w:t>
            </w:r>
          </w:p>
        </w:tc>
        <w:tc>
          <w:tcPr>
            <w:tcW w:w="4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6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 held for sale (b)</w:t>
            </w:r>
          </w:p>
        </w:tc>
        <w:tc>
          <w:tcPr>
            <w:tcW w:w="4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46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4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43"/>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6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10"/>
        </w:trPr>
        <w:tc>
          <w:tcPr>
            <w:tcW w:w="64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purchase price</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w:t>
            </w:r>
          </w:p>
        </w:tc>
      </w:tr>
      <w:tr>
        <w:trPr>
          <w:trHeight w:val="20"/>
        </w:trPr>
        <w:tc>
          <w:tcPr>
            <w:tcW w:w="22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20" w:type="dxa"/>
            <w:vAlign w:val="bottom"/>
          </w:tcPr>
          <w:p>
            <w:pPr>
              <w:spacing w:after="0"/>
              <w:rPr>
                <w:sz w:val="7"/>
                <w:szCs w:val="7"/>
                <w:color w:val="auto"/>
              </w:rPr>
            </w:pPr>
          </w:p>
        </w:tc>
      </w:tr>
    </w:tbl>
    <w:p>
      <w:pPr>
        <w:spacing w:after="0" w:line="76" w:lineRule="exact"/>
        <w:rPr>
          <w:sz w:val="20"/>
          <w:szCs w:val="20"/>
          <w:color w:val="auto"/>
        </w:rPr>
      </w:pPr>
    </w:p>
    <w:p>
      <w:pPr>
        <w:ind w:left="720" w:hanging="481"/>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allowance for doubtful accounts of $130 million. See Note 2 for further discussion.</w:t>
      </w:r>
    </w:p>
    <w:p>
      <w:pPr>
        <w:spacing w:after="0" w:line="225" w:lineRule="exact"/>
        <w:rPr>
          <w:rFonts w:ascii="Times New Roman" w:cs="Times New Roman" w:eastAsia="Times New Roman" w:hAnsi="Times New Roman"/>
          <w:sz w:val="18"/>
          <w:szCs w:val="18"/>
          <w:color w:val="auto"/>
        </w:rPr>
      </w:pPr>
    </w:p>
    <w:p>
      <w:pPr>
        <w:ind w:left="720" w:right="79" w:hanging="481"/>
        <w:spacing w:after="0" w:line="282" w:lineRule="auto"/>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Stericycle’s Spain and Portugal subsidiaries. See “Assets Held for Sale” under 2024 Divestitures for additional information.</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preliminary allocation of $3,536 million for other intangible assets includes $2,279 million for customer relationships with a weighted average amortization period of 15 years, $630 million for indefinite lived trade names, $319 million for indefinite lived permits, $162 million for definite lived trade names with a weighted average amortization period of 2.2 years, $141 million for ERP software with a weighted average amortization period of 4.7 years, and $5 million for developed technology with an amortization period of 17 years.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in the table below summarizes the combined results of operations for Waste Management and Stericycle as though the companies had been combined as of January 1, 2023. Examples of adjustments made to arrive at the pro forma amounts include, but are not limited to, the following:</w:t>
      </w:r>
    </w:p>
    <w:p>
      <w:pPr>
        <w:spacing w:after="0" w:line="176" w:lineRule="exact"/>
        <w:rPr>
          <w:sz w:val="20"/>
          <w:szCs w:val="20"/>
          <w:color w:val="auto"/>
        </w:rPr>
      </w:pPr>
    </w:p>
    <w:p>
      <w:pPr>
        <w:ind w:left="700" w:hanging="481"/>
        <w:spacing w:after="0"/>
        <w:tabs>
          <w:tab w:leader="none" w:pos="7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expenses incurred by us and Stericycle;</w:t>
      </w:r>
    </w:p>
    <w:p>
      <w:pPr>
        <w:spacing w:after="0" w:line="27" w:lineRule="exact"/>
        <w:rPr>
          <w:rFonts w:ascii="Times New Roman" w:cs="Times New Roman" w:eastAsia="Times New Roman" w:hAnsi="Times New Roman"/>
          <w:sz w:val="18"/>
          <w:szCs w:val="18"/>
          <w:color w:val="auto"/>
        </w:rPr>
      </w:pPr>
    </w:p>
    <w:p>
      <w:pPr>
        <w:ind w:left="700" w:hanging="481"/>
        <w:spacing w:after="0"/>
        <w:tabs>
          <w:tab w:leader="none" w:pos="7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revenue and expenses between us and Stericycle;</w:t>
      </w:r>
    </w:p>
    <w:p>
      <w:pPr>
        <w:spacing w:after="0" w:line="9" w:lineRule="exact"/>
        <w:rPr>
          <w:rFonts w:ascii="Times New Roman" w:cs="Times New Roman" w:eastAsia="Times New Roman" w:hAnsi="Times New Roman"/>
          <w:sz w:val="18"/>
          <w:szCs w:val="18"/>
          <w:color w:val="auto"/>
        </w:rPr>
      </w:pPr>
    </w:p>
    <w:p>
      <w:pPr>
        <w:ind w:left="700" w:hanging="481"/>
        <w:spacing w:after="0"/>
        <w:tabs>
          <w:tab w:leader="none" w:pos="7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depreciation and amortization expense due to step-up in fair value of the acquired assets;</w:t>
      </w:r>
    </w:p>
    <w:p>
      <w:pPr>
        <w:spacing w:after="0" w:line="9" w:lineRule="exact"/>
        <w:rPr>
          <w:rFonts w:ascii="Times New Roman" w:cs="Times New Roman" w:eastAsia="Times New Roman" w:hAnsi="Times New Roman"/>
          <w:sz w:val="18"/>
          <w:szCs w:val="18"/>
          <w:color w:val="auto"/>
        </w:rPr>
      </w:pPr>
    </w:p>
    <w:p>
      <w:pPr>
        <w:ind w:left="700" w:hanging="481"/>
        <w:spacing w:after="0"/>
        <w:tabs>
          <w:tab w:leader="none" w:pos="7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adjustments;</w:t>
      </w:r>
    </w:p>
    <w:p>
      <w:pPr>
        <w:spacing w:after="0" w:line="9" w:lineRule="exact"/>
        <w:rPr>
          <w:rFonts w:ascii="Times New Roman" w:cs="Times New Roman" w:eastAsia="Times New Roman" w:hAnsi="Times New Roman"/>
          <w:sz w:val="18"/>
          <w:szCs w:val="18"/>
          <w:color w:val="auto"/>
        </w:rPr>
      </w:pPr>
    </w:p>
    <w:p>
      <w:pPr>
        <w:ind w:left="700" w:hanging="481"/>
        <w:spacing w:after="0"/>
        <w:tabs>
          <w:tab w:leader="none" w:pos="7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policy alignment adjustments; and</w:t>
      </w:r>
    </w:p>
    <w:p>
      <w:pPr>
        <w:spacing w:after="0" w:line="9" w:lineRule="exact"/>
        <w:rPr>
          <w:rFonts w:ascii="Times New Roman" w:cs="Times New Roman" w:eastAsia="Times New Roman" w:hAnsi="Times New Roman"/>
          <w:sz w:val="18"/>
          <w:szCs w:val="18"/>
          <w:color w:val="auto"/>
        </w:rPr>
      </w:pPr>
    </w:p>
    <w:p>
      <w:pPr>
        <w:ind w:left="700" w:hanging="481"/>
        <w:spacing w:after="0"/>
        <w:tabs>
          <w:tab w:leader="none" w:pos="7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adjustments.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financial information is for informational purposes only and is not necessarily indicative of the results of operations that would have been achieved as if the acquisition had taken place as January 1, 2023 for the year ended December 31 (in millions):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2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24,258</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23,066</w:t>
            </w:r>
          </w:p>
        </w:tc>
      </w:tr>
      <w:tr>
        <w:trPr>
          <w:trHeight w:val="234"/>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r>
    </w:tbl>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Other 2024 Acquisitions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addition to Stericycle, during the year ended December 31, 2024, we completed solid waste and recycling acquisitions primarily in New York, Florida, North Carolina and Arizona for total consideration of $790 million. Total consideration included $783 million in net cash paid and $7 million in non-cash consideration, primarily related to purchase price holdbacks. In addition, we paid $23 million of holdbacks, of which $16 million related to prior year acquisitions.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Total consideration for our other 2024 acquisitions was primarily allocated to $160 million of property and equipment, $79 million of other intangible assets and $588 million of goodwill. Other intangible assets included $63 million of customer relationships and $14 million of covenants not-to-compete.</w:t>
      </w:r>
    </w:p>
    <w:p>
      <w:pPr>
        <w:spacing w:after="0" w:line="176" w:lineRule="exact"/>
        <w:rPr>
          <w:sz w:val="20"/>
          <w:szCs w:val="20"/>
          <w:color w:val="auto"/>
        </w:rPr>
      </w:pPr>
    </w:p>
    <w:p>
      <w:pPr>
        <w:jc w:val="both"/>
        <w:ind w:left="60" w:right="59" w:firstLine="162"/>
        <w:spacing w:after="0" w:line="282" w:lineRule="auto"/>
        <w:rPr>
          <w:sz w:val="20"/>
          <w:szCs w:val="20"/>
          <w:color w:val="auto"/>
        </w:rPr>
      </w:pPr>
      <w:r>
        <w:rPr>
          <w:rFonts w:ascii="Times New Roman" w:cs="Times New Roman" w:eastAsia="Times New Roman" w:hAnsi="Times New Roman"/>
          <w:sz w:val="18"/>
          <w:szCs w:val="18"/>
          <w:color w:val="auto"/>
        </w:rPr>
        <w:t>The goodwill related to our other 2024 acquisitions was primarily a result of expected synergies from combining the acquired businesses with our existing operations a significant portion of which was tax deductible.</w:t>
      </w:r>
    </w:p>
    <w:p>
      <w:pPr>
        <w:spacing w:after="0" w:line="162" w:lineRule="exact"/>
        <w:rPr>
          <w:sz w:val="20"/>
          <w:szCs w:val="20"/>
          <w:color w:val="auto"/>
        </w:rPr>
      </w:pPr>
    </w:p>
    <w:p>
      <w:pPr>
        <w:jc w:val="both"/>
        <w:ind w:left="60" w:right="59" w:firstLine="162"/>
        <w:spacing w:after="0" w:line="266" w:lineRule="auto"/>
        <w:rPr>
          <w:sz w:val="20"/>
          <w:szCs w:val="20"/>
          <w:color w:val="auto"/>
        </w:rPr>
      </w:pPr>
      <w:r>
        <w:rPr>
          <w:rFonts w:ascii="Times New Roman" w:cs="Times New Roman" w:eastAsia="Times New Roman" w:hAnsi="Times New Roman"/>
          <w:sz w:val="18"/>
          <w:szCs w:val="18"/>
          <w:color w:val="auto"/>
        </w:rPr>
        <w:t>In 2022, we acquired a controlling interest in a business engaged in accelerating film and plastic wrap recycling capabilities that is included in our Recycling Processing and Sales segment. In the fourth quarter of 2024, we acquired the remaining minority interests in this business for $41 million.</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2023 Acquisitions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acquired 12 businesses, primarily related to our Collection and Disposal businesses. Total consideration, net of cash acquired, for all acquisitions was $182 million, which included $157 million in net cash paid and $25 million in non-cash consideration, primarily related to purchase price holdbacks. In addition, we paid $13 million of holdbacks, of which $6 million related to prior year acquisitions.</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Total consideration for our 2023 acquisitions was primarily allocated to $49 million of property and equipment, $44 million of other intangible assets and $88 million of goodwill. Other intangible assets included $34 million of customer relationships and $10 million of covenants not-to-compete.</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goodwill related to our 2023 acquisitions was primarily a result of expected synergies from combining the acquired businesses with our existing operations and substantially all was tax deductible.</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2022 Acquisitions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we acquired 13 businesses, including the acquisition of a controlling interest in a business intended to allow us to deliver new recycling capabilities for our customers and provide circular solutions for film and clear plastic wrap used commercially, such as plastic stretch wrap for pallets, furniture film, grocery bags and potentially shrink wrap around food and beverage containers. Our other acquisitions in 2022 primarily related to our Collection and Disposal businesses. Total consideration, net of cash acquired, for all acquisitions was $507 million, which included $372 million in net cash paid and $135 million in non-cash consideration, primarily related to purchase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price holdbacks and the conversion of $67 million in secured convertible promissory notes receivable into equity of the acquired business. In addition, we paid $5 million of holdbacks related to prior year acquisitions.</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Total consideration for our 2022 acquisitions was primarily allocated to $138 million of property and equipment, $64 million of other intangible assets, $325 million of goodwill and $14 million of noncontrolling interests. Other intangible assets included $45 million of customer relationships and $19 million of covenants not-to-compete.</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Upon our acquisition of Stericycle in November 2024, WM Healthcare Solutions’ Spain and Portugal subsidiaries were classified as held for sale and included within the “Assets held for sale” and “Liabilities held for sale” line items in the preliminary allocation of purchase price. We completed the sale of these assets on January 2, 2025.</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2024 Divestitures</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 were $158 million, $78 million and $27 million in 2024, 2023 and 2022, respectively primarily the result of the sale of certain non-strategic assets.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Variable Interest Entities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our financial interests in unconsolidated and consolidated variable interest entities that we consider significant: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Low-Income Housing Properties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do not consolidate our investments in entities established to manage low-income housing properties because we are not the primary beneficiary of these entities as we do not have the power to individually direct the activities of these entities. Our aggregate investment balance in these entities was $707 million and $458 million as of December 31, 2024 and 2023, respectively. The debt balance related to our investments in low-income housing properties was $670 million and $408 million as of December 31, 2024 and 2023, respectively. Additional information related to these investments is discussed in Note 8.</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Trust Funds for Final Capping, Closure, Post-Closure or Environmental Remediation Obligations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Unconsolidated Variable Interest Entities — </w:t>
      </w:r>
      <w:r>
        <w:rPr>
          <w:rFonts w:ascii="Times New Roman" w:cs="Times New Roman" w:eastAsia="Times New Roman" w:hAnsi="Times New Roman"/>
          <w:sz w:val="18"/>
          <w:szCs w:val="18"/>
          <w:color w:val="auto"/>
        </w:rPr>
        <w:t>Trust funds that are established for both the benefit of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$111 million and $104 million as of December 31, 2024 and 2023, respectively.</w:t>
      </w:r>
    </w:p>
    <w:p>
      <w:pPr>
        <w:spacing w:after="0" w:line="188"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Consolidated Variable Interest Entities — </w:t>
      </w:r>
      <w:r>
        <w:rPr>
          <w:rFonts w:ascii="Times New Roman" w:cs="Times New Roman" w:eastAsia="Times New Roman" w:hAnsi="Times New Roman"/>
          <w:sz w:val="18"/>
          <w:szCs w:val="18"/>
          <w:color w:val="auto"/>
        </w:rPr>
        <w:t>Trust funds for which we are the sole beneficiary are consolidated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the primary beneficiary. These trust funds are recorded in restricted funds in our Consolidated Balance Sheets. Unrealized gains and losses on available-for-sale securities held by these trusts are recorded as a component of</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accumulated other comprehensive income (loss). These trusts had a fair value of $128 million and $119 million as of December 31, 2024 and 2023,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19. Segment and Related Information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five reportable segments, referred to as (i) East Tier; (ii) West Tier; (iii) Recycling Processing and Sales; (iv) WM Renewable Energy and (v) WM Healthcare Solutions. Our East and West Tiers along with Other Ancillary services that are not managed through our Tier segments, but that support our collection and disposal operations, form our “Collection and Disposal” businesses. We also provide additional services not managed through our five reportable segments, which are presented as Corporate and Other.</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our operating results are significantly affected by certain transactions or events that management believes are not indicative or representative of our results. Refer to Note 11 for an explanation of certain transactions and events affecting our operating results. Reclassifications have been made to our prior period consolidated financial information to conform to the current year presentation.</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Collection and Disposal</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Collection and Disposal businesses provide integrated environmental services, including collection, transfer, disposal and resource recovery services. We evaluate our Collection and Disposal businesses primarily through two geographic segments, East Tier and West Tier. Our East Tier primarily consists of geographic areas located in the Eastern U.S., the Great Lakes region and substantially all of Canada. Our West Tier primarily includes geographic areas located in the Western U.S., including the upper Midwest region and British Columbia, Canada. Additionally, we provide Other Ancillary services that are not managed through the Tier segments but that support our collection and disposal operations. Other Ancillary includes specialized services performed for customers that have differentiated needs. These specialized services are targeted at large industrial customers managed through our Sustainability and Environmental Solutions (“SES”) business or geographically dispersed customers managed through our Strategic Business Solutions (“WMSBS”) business. Also included within Other Ancillary are the results of non-operating entities that provide financial assurance and self-insurance support for our business, net of intercompany activity.</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Included within our Collection and Disposal businesses are landfills having (i) 20 third-party power generating facilities converting our landfill gas to fuel electricity generators; (ii) 16 third-party RNG facilities processing landfill gas to be sold to natural gas suppliers and (iii) six third-party projects delivering our landfill gas by pipeline to industrial customers as a direct substitute for fossil fuels in industrial processes. In return for providing our landfill gas, we receive royalties from each facility, including the benefit of a 15% royalty from our WM Renewable Energy segment based on net operating revenue generated through the sale of RNG, RINs, electricity and capacity, RECs and related environmental attributes from the 84 landfill beneficial use renewable energy projects owned by WM Renewable Energy on our active landfills, which is eliminated in consolidation.</w:t>
      </w:r>
    </w:p>
    <w:p>
      <w:pPr>
        <w:spacing w:after="0" w:line="1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Recycling Processing and Sales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Recycling Processing and Sales segment includes the processing and sales of materials collected from residential, commercial and industrial customers. The materials are delivered to and processed at one of our many recycling facilities. Through our brokerage business, we also manage the marketing of recycling commodities that are processed in our facilities and by third parties by maintaining comprehensive service centers that continuously analyze market prices, logistics, market demands and product quality. Our Recycling Processing and Sales segment excludes the collection of recycled materials from our residential, commercial, and industrial customers which is included within our Collection and Disposal businesses.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WM Renewable Energy</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WM Renewable Energy segment develops, operates and promotes projects for the beneficial use of landfill gas. Landfill gas is produced naturally as waste decomposes in a landfill. The methane component of the landfill gas is a readily available, renewable energy source that can be gathered and used beneficially as an alternative to fossil fuel. WM Renewable Energy converts landfill gas into several sources of renewable energy which include RNG, electricity and capacity, heat and/or steam. WM Renewable Energy also generates RINs under the RFS program, other credits under a variety of state programs associated with the use of RNG in our compressed natural gas fleet, and RECs associated with the production of electricity. The RINs, RECs, and other credits are sold to counterparties who are obligated under the regulatory programs and have a responsibility to procure RINs, RECs and other credits proportionate to their fossil fuel production and imports. RINs and RECs prices generally fluctuate in response to regulations enacted by the EPA or other regulatory bodies, as well as changes in supply and demand.</w:t>
      </w:r>
    </w:p>
    <w:p>
      <w:pPr>
        <w:spacing w:after="0" w:line="19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2024, we had 102 landfill gas beneficial use projects producing commercial quantities of methane gas at owned or operated landfills. For 65 of these projects, the processed gas is used to fuel electricity generators. The electricity is then sold to public utilities, municipal utilities or power cooperatives. For 23 of these projects, the gas is used at the landfill or delivered by pipeline to industrial customers as a direct substitute for fossil fuels in industrial processes. For 11 of these projects, the landfill gas is processed to pipeline quality RNG and then sold to natural gas suppliers. Additionally, three of these projects are on third-party landfills. The revenues from these facilities are primarily generated through the sale of RNG, RINs, electricity and capacity, RECs and related environmental attributes. WM Renewable Energy is charged a 15% royalty on net operating revenue from these facilities residing on our active and closed landfills from our Collection and Disposal and Corporate and Other businesses, which is eliminated in consolidation. Additionally, WM Renewable Energy operates and maintains seven third-party landfill beneficial gas use projects in return for service revenue. Our Collection and Disposal and Corporate and Other businesses benefit from these projects as well as 52 additional third-party landfill beneficial gas use projects in the form of royalties.</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WM Healthcare Solutions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WM Healthcare Solutions segment includes (i) RWCS, which provide compliance programs and collection, processing and disposal of regulated and specialized waste, including medical, pharmaceutical and hazardous waste and (ii) SID services, which provide for the collection of personal and confidential information for secure destruction and recycling of sorted office paper. RWCS are provided to customers in the U.S., Canada, Ireland and the United Kingdom (“U.K.”). SID services are provided to customers in the U.S., Canada, Belgium, France, Germany, Ireland, Luxembourg, the Netherlands and the U.K.</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WM Healthcare Solutions customers are primarily in the following industries: enterprise healthcare (i.e., hospitals, health systems and national and corporate healthcare), practices and care providers (i.e., physician offices, surgery centers, veterinary clinics, nursing and long-term care facilities, dental clinics, clinics and urgent care, dialysis centers and home health organizations), and pharmacy labs and research centers. Our WM Healthcare Solutions businesses also provide services to airports and seaports, education institutions, funeral homes and crematories, government and military, banks and professional services, and other businesses. While the WM Healthcare Solutions businesses manage large volumes of waste and other materials, the average volume per customer site is relatively small.</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WM Healthcare Solutions customers typically enter into a contract for the provision of services on a scheduled basis including weekly, monthly or on an as-needed basis over the contract term. Under the contract terms, the WM Healthcare Solutions businesses receive fees based on a monthly, quarterly or annual rate and/or fees based on contractual rates depending upon measures including the volume, weight or type of waste. Operating revenues are invoiced based on the terms of the underlying contract either on a regular basis, or as services are performed and are generally due within 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short period of time after invoicing based upon normal terms and conditions for our business type and the geography of the services performed.</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our WM Healthcare Solutions businesses include a global fleet of approximately 6,100 routed trucks, tractors, collection vans and small duty vehicles. Our WM Healthcare Solutions segment operates out of approximately 361 leased and owned facilities worldwide with 69 autoclaves or other alternative medical waste treatment facilities, 18 medical waste incinerator facilities, 107 SID processing facilities, and 167 transfer stations. Included within our WM Healthcare Solutions segment are 35 locations that are classified as held for sale as of December 31, 2024.</w:t>
      </w:r>
    </w:p>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also provide additional services that are not managed through our operating segments, which are presented in this report as Corporate and Other as they do not meet the criteria to be aggregated with other operating segments and do not meet the quantitative criteria to be separately reported. This includes the activities of our corporate office, including costs associated with our long-term incentive program, expanded service offerings and solutions (such as our investments in businesses and technologies that are designed to offer services and solutions ancillary or supplementary to our current operations) as well as our closed sites. Also, included within our Corporate and Other businesses closed sites are (i) six third-party power generating facilities converting our landfill gas to fuel electricity generators; (ii) two third-party projects delivering our landfill gas by pipeline to industrial customers as a direct substitute for fossil fuels in industrial processes and (iii) two third-party RNG facilities processing landfill gas to be sold to natural gas suppliers in return for a royalty. Additionally, Corporate and Other benefits from a 15% royalty from our WM Renewable Energy segment based on net operating revenue generated through the sale of RNG, RINs, electricity and capacity, RECs and related environmental attributes from the 15 landfill beneficial use renewable energy projects owned by WM Renewable Energy on our closed sites, which is eliminated in consolidation.</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chief operating decision maker (“CODM”) is the chief executive officer. The CODM regularly reviews financial results, operating performance, and capital expenditures of our five reportable segments. Our CODM uses income from operations for each segment predominantly in the annual budget and forecasting process and considers budget-to-actual variances on a monthly basis when making decisions about the allocation of operating and capital resources to each segment. Our CODM also uses segment income from operations to assess the performance of each segment by comparing the results of each segment with one another. Summarized financial information concerning our reportable segments as of December 31 and for the year then ended is shown in the following table (in millions):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Intercompany</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Selling,</w:t>
            </w:r>
          </w:p>
        </w:tc>
        <w:tc>
          <w:tcPr>
            <w:tcW w:w="10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Depreciation,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40" w:type="dxa"/>
            <w:vAlign w:val="bottom"/>
          </w:tcPr>
          <w:p>
            <w:pPr>
              <w:spacing w:after="0"/>
              <w:rPr>
                <w:sz w:val="12"/>
                <w:szCs w:val="12"/>
                <w:color w:val="auto"/>
              </w:rPr>
            </w:pPr>
          </w:p>
        </w:tc>
        <w:tc>
          <w:tcPr>
            <w:tcW w:w="62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Operating</w:t>
            </w:r>
          </w:p>
        </w:tc>
        <w:tc>
          <w:tcPr>
            <w:tcW w:w="10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700" w:type="dxa"/>
            <w:vAlign w:val="bottom"/>
            <w:gridSpan w:val="4"/>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700" w:type="dxa"/>
            <w:vAlign w:val="bottom"/>
            <w:gridSpan w:val="4"/>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60" w:type="dxa"/>
            <w:vAlign w:val="bottom"/>
          </w:tcPr>
          <w:p>
            <w:pPr>
              <w:spacing w:after="0"/>
              <w:rPr>
                <w:sz w:val="11"/>
                <w:szCs w:val="11"/>
                <w:color w:val="auto"/>
              </w:rPr>
            </w:pPr>
          </w:p>
        </w:tc>
        <w:tc>
          <w:tcPr>
            <w:tcW w:w="82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General, and</w:t>
            </w:r>
          </w:p>
        </w:tc>
        <w:tc>
          <w:tcPr>
            <w:tcW w:w="100" w:type="dxa"/>
            <w:vAlign w:val="bottom"/>
          </w:tcPr>
          <w:p>
            <w:pPr>
              <w:spacing w:after="0"/>
              <w:rPr>
                <w:sz w:val="11"/>
                <w:szCs w:val="11"/>
                <w:color w:val="auto"/>
              </w:rPr>
            </w:pPr>
          </w:p>
        </w:tc>
        <w:tc>
          <w:tcPr>
            <w:tcW w:w="64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7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Depletion and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from</w:t>
            </w:r>
          </w:p>
        </w:tc>
        <w:tc>
          <w:tcPr>
            <w:tcW w:w="7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Expenditures</w:t>
            </w:r>
          </w:p>
        </w:tc>
        <w:tc>
          <w:tcPr>
            <w:tcW w:w="0" w:type="dxa"/>
            <w:vAlign w:val="bottom"/>
          </w:tcPr>
          <w:p>
            <w:pPr>
              <w:spacing w:after="0"/>
              <w:rPr>
                <w:sz w:val="1"/>
                <w:szCs w:val="1"/>
                <w:color w:val="auto"/>
              </w:rPr>
            </w:pPr>
          </w:p>
        </w:tc>
      </w:tr>
      <w:tr>
        <w:trPr>
          <w:trHeight w:val="155"/>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Revenues(b)</w:t>
            </w:r>
          </w:p>
        </w:tc>
        <w:tc>
          <w:tcPr>
            <w:tcW w:w="60" w:type="dxa"/>
            <w:vAlign w:val="bottom"/>
          </w:tcPr>
          <w:p>
            <w:pPr>
              <w:spacing w:after="0"/>
              <w:rPr>
                <w:sz w:val="13"/>
                <w:szCs w:val="13"/>
                <w:color w:val="auto"/>
              </w:rPr>
            </w:pPr>
          </w:p>
        </w:tc>
        <w:tc>
          <w:tcPr>
            <w:tcW w:w="6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60" w:type="dxa"/>
            <w:vAlign w:val="bottom"/>
          </w:tcPr>
          <w:p>
            <w:pPr>
              <w:spacing w:after="0"/>
              <w:rPr>
                <w:sz w:val="13"/>
                <w:szCs w:val="13"/>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3"/>
              </w:rPr>
              <w:t>Expenses</w:t>
            </w:r>
          </w:p>
        </w:tc>
        <w:tc>
          <w:tcPr>
            <w:tcW w:w="8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Administrative</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Expenses(g)</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8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Operations(c)</w:t>
            </w:r>
          </w:p>
        </w:tc>
        <w:tc>
          <w:tcPr>
            <w:tcW w:w="140" w:type="dxa"/>
            <w:vAlign w:val="bottom"/>
          </w:tcPr>
          <w:p>
            <w:pPr>
              <w:spacing w:after="0"/>
              <w:rPr>
                <w:sz w:val="13"/>
                <w:szCs w:val="13"/>
                <w:color w:val="auto"/>
              </w:rPr>
            </w:pPr>
          </w:p>
        </w:tc>
        <w:tc>
          <w:tcPr>
            <w:tcW w:w="62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(d)</w:t>
            </w:r>
          </w:p>
        </w:tc>
        <w:tc>
          <w:tcPr>
            <w:tcW w:w="0" w:type="dxa"/>
            <w:vAlign w:val="bottom"/>
          </w:tcPr>
          <w:p>
            <w:pPr>
              <w:spacing w:after="0"/>
              <w:rPr>
                <w:sz w:val="1"/>
                <w:szCs w:val="1"/>
                <w:color w:val="auto"/>
              </w:rPr>
            </w:pPr>
          </w:p>
        </w:tc>
      </w:tr>
      <w:tr>
        <w:trPr>
          <w:trHeight w:val="115"/>
        </w:trPr>
        <w:tc>
          <w:tcPr>
            <w:tcW w:w="1920" w:type="dxa"/>
            <w:vAlign w:val="bottom"/>
            <w:gridSpan w:val="2"/>
            <w:vMerge w:val="continue"/>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4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Collection and Disposal:</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East Tier</w:t>
            </w:r>
          </w:p>
        </w:tc>
        <w:tc>
          <w:tcPr>
            <w:tcW w:w="1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8,703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2,252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10,955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6,801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1,018</w:t>
            </w:r>
          </w:p>
        </w:tc>
        <w:tc>
          <w:tcPr>
            <w:tcW w:w="18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2,760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1,119</w:t>
            </w:r>
          </w:p>
        </w:tc>
        <w:tc>
          <w:tcPr>
            <w:tcW w:w="0" w:type="dxa"/>
            <w:vAlign w:val="bottom"/>
          </w:tcPr>
          <w:p>
            <w:pPr>
              <w:spacing w:after="0"/>
              <w:rPr>
                <w:sz w:val="1"/>
                <w:szCs w:val="1"/>
                <w:color w:val="auto"/>
              </w:rPr>
            </w:pPr>
          </w:p>
        </w:tc>
      </w:tr>
      <w:tr>
        <w:trPr>
          <w:trHeight w:val="135"/>
        </w:trPr>
        <w:tc>
          <w:tcPr>
            <w:tcW w:w="19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West Tier</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8,285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2,052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10,337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6,430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373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2,693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1,071</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Ancillary</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2,728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2,915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2,782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28"/>
        </w:trPr>
        <w:tc>
          <w:tcPr>
            <w:tcW w:w="1920" w:type="dxa"/>
            <w:vAlign w:val="bottom"/>
            <w:gridSpan w:val="2"/>
          </w:tcPr>
          <w:p>
            <w:pPr>
              <w:ind w:left="320"/>
              <w:spacing w:after="0" w:line="129" w:lineRule="exact"/>
              <w:rPr>
                <w:sz w:val="20"/>
                <w:szCs w:val="20"/>
                <w:color w:val="auto"/>
              </w:rPr>
            </w:pPr>
            <w:r>
              <w:rPr>
                <w:rFonts w:ascii="Times New Roman" w:cs="Times New Roman" w:eastAsia="Times New Roman" w:hAnsi="Times New Roman"/>
                <w:sz w:val="10"/>
                <w:szCs w:val="10"/>
                <w:color w:val="auto"/>
              </w:rPr>
              <w:t>Collection and Disposal</w:t>
            </w:r>
            <w:r>
              <w:rPr>
                <w:rFonts w:ascii="Times New Roman" w:cs="Times New Roman" w:eastAsia="Times New Roman" w:hAnsi="Times New Roman"/>
                <w:sz w:val="14"/>
                <w:szCs w:val="14"/>
                <w:color w:val="auto"/>
                <w:vertAlign w:val="superscript"/>
              </w:rPr>
              <w:t>(e)(f)</w:t>
            </w: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19,716</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4,491</w:t>
            </w: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24,207</w:t>
            </w: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16,013</w:t>
            </w: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862</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1,900</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5,444</w:t>
            </w: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2,242</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1"/>
                <w:szCs w:val="11"/>
                <w:color w:val="auto"/>
              </w:rPr>
              <w:t>Recycling Processing and Sales</w:t>
            </w:r>
            <w:r>
              <w:rPr>
                <w:rFonts w:ascii="Times New Roman" w:cs="Times New Roman" w:eastAsia="Times New Roman" w:hAnsi="Times New Roman"/>
                <w:sz w:val="15"/>
                <w:szCs w:val="15"/>
                <w:color w:val="auto"/>
                <w:vertAlign w:val="superscript"/>
              </w:rPr>
              <w:t>(e)</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1,603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1,890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1,610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524</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Times New Roman" w:cs="Times New Roman" w:eastAsia="Times New Roman" w:hAnsi="Times New Roman"/>
                <w:sz w:val="11"/>
                <w:szCs w:val="11"/>
                <w:color w:val="auto"/>
              </w:rPr>
              <w:t>WM Renewable Energy</w:t>
            </w:r>
            <w:r>
              <w:rPr>
                <w:rFonts w:ascii="Times New Roman" w:cs="Times New Roman" w:eastAsia="Times New Roman" w:hAnsi="Times New Roman"/>
                <w:sz w:val="15"/>
                <w:szCs w:val="15"/>
                <w:color w:val="auto"/>
                <w:vertAlign w:val="superscript"/>
              </w:rPr>
              <w:t>(f)</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321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166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514</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WM Healthcare Solutions</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Times New Roman" w:cs="Times New Roman" w:eastAsia="Times New Roman" w:hAnsi="Times New Roman"/>
                <w:sz w:val="11"/>
                <w:szCs w:val="11"/>
                <w:color w:val="auto"/>
              </w:rPr>
              <w:t>Corporate and Other</w:t>
            </w:r>
            <w:r>
              <w:rPr>
                <w:rFonts w:ascii="Times New Roman" w:cs="Times New Roman" w:eastAsia="Times New Roman" w:hAnsi="Times New Roman"/>
                <w:sz w:val="15"/>
                <w:szCs w:val="15"/>
                <w:color w:val="auto"/>
                <w:vertAlign w:val="superscript"/>
              </w:rPr>
              <w:t>(f)</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1,194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(1,497)</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28"/>
        </w:trPr>
        <w:tc>
          <w:tcPr>
            <w:tcW w:w="1920" w:type="dxa"/>
            <w:vAlign w:val="bottom"/>
            <w:tcBorders>
              <w:top w:val="single" w:sz="8" w:color="CCEEFF"/>
              <w:bottom w:val="single" w:sz="8" w:color="CCEEFF"/>
            </w:tcBorders>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22,063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4,816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26,879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18,178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2,285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2,267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4,063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3,328</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Intercompany Elimination</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(4,816)</w:t>
            </w: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(4,795)</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92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Net</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22,063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13,383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2,264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2,267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4,063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6" w:lineRule="exact"/>
        <w:rPr>
          <w:sz w:val="20"/>
          <w:szCs w:val="20"/>
          <w:color w:val="auto"/>
        </w:rPr>
      </w:pPr>
    </w:p>
    <w:tbl>
      <w:tblPr>
        <w:tblLayout w:type="fixed"/>
        <w:tblInd w:w="50" w:type="dxa"/>
        <w:tblCellMar>
          <w:top w:w="0" w:type="dxa"/>
          <w:left w:w="0" w:type="dxa"/>
          <w:bottom w:w="0" w:type="dxa"/>
          <w:right w:w="0" w:type="dxa"/>
        </w:tblCellMar>
      </w:tblPr>
      <w:tr>
        <w:trPr>
          <w:trHeight w:val="149"/>
        </w:trPr>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Intercompany</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Gross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Selling,</w:t>
            </w:r>
          </w:p>
        </w:tc>
        <w:tc>
          <w:tcPr>
            <w:tcW w:w="10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Depreciation,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40" w:type="dxa"/>
            <w:vAlign w:val="bottom"/>
          </w:tcPr>
          <w:p>
            <w:pPr>
              <w:spacing w:after="0"/>
              <w:rPr>
                <w:sz w:val="12"/>
                <w:szCs w:val="12"/>
                <w:color w:val="auto"/>
              </w:rPr>
            </w:pPr>
          </w:p>
        </w:tc>
        <w:tc>
          <w:tcPr>
            <w:tcW w:w="6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Capital</w:t>
            </w:r>
          </w:p>
        </w:tc>
      </w:tr>
      <w:tr>
        <w:trPr>
          <w:trHeight w:val="135"/>
        </w:trPr>
        <w:tc>
          <w:tcPr>
            <w:tcW w:w="1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10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700" w:type="dxa"/>
            <w:vAlign w:val="bottom"/>
            <w:gridSpan w:val="4"/>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Operating</w:t>
            </w:r>
          </w:p>
        </w:tc>
        <w:tc>
          <w:tcPr>
            <w:tcW w:w="700" w:type="dxa"/>
            <w:vAlign w:val="bottom"/>
            <w:gridSpan w:val="4"/>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60" w:type="dxa"/>
            <w:vAlign w:val="bottom"/>
          </w:tcPr>
          <w:p>
            <w:pPr>
              <w:spacing w:after="0"/>
              <w:rPr>
                <w:sz w:val="11"/>
                <w:szCs w:val="11"/>
                <w:color w:val="auto"/>
              </w:rPr>
            </w:pPr>
          </w:p>
        </w:tc>
        <w:tc>
          <w:tcPr>
            <w:tcW w:w="82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General, and</w:t>
            </w:r>
          </w:p>
        </w:tc>
        <w:tc>
          <w:tcPr>
            <w:tcW w:w="100" w:type="dxa"/>
            <w:vAlign w:val="bottom"/>
          </w:tcPr>
          <w:p>
            <w:pPr>
              <w:spacing w:after="0"/>
              <w:rPr>
                <w:sz w:val="11"/>
                <w:szCs w:val="11"/>
                <w:color w:val="auto"/>
              </w:rPr>
            </w:pPr>
          </w:p>
        </w:tc>
        <w:tc>
          <w:tcPr>
            <w:tcW w:w="64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7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Depletion and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from</w:t>
            </w: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Expenditures</w:t>
            </w:r>
          </w:p>
        </w:tc>
      </w:tr>
      <w:tr>
        <w:trPr>
          <w:trHeight w:val="155"/>
        </w:trPr>
        <w:tc>
          <w:tcPr>
            <w:tcW w:w="1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Revenues(b)</w:t>
            </w:r>
          </w:p>
        </w:tc>
        <w:tc>
          <w:tcPr>
            <w:tcW w:w="60" w:type="dxa"/>
            <w:vAlign w:val="bottom"/>
          </w:tcPr>
          <w:p>
            <w:pPr>
              <w:spacing w:after="0"/>
              <w:rPr>
                <w:sz w:val="13"/>
                <w:szCs w:val="13"/>
                <w:color w:val="auto"/>
              </w:rPr>
            </w:pPr>
          </w:p>
        </w:tc>
        <w:tc>
          <w:tcPr>
            <w:tcW w:w="6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60" w:type="dxa"/>
            <w:vAlign w:val="bottom"/>
          </w:tcPr>
          <w:p>
            <w:pPr>
              <w:spacing w:after="0"/>
              <w:rPr>
                <w:sz w:val="13"/>
                <w:szCs w:val="13"/>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3"/>
              </w:rPr>
              <w:t>Expenses</w:t>
            </w:r>
          </w:p>
        </w:tc>
        <w:tc>
          <w:tcPr>
            <w:tcW w:w="8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Administrative</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Expenses(g)</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8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Operations(c)</w:t>
            </w:r>
          </w:p>
        </w:tc>
        <w:tc>
          <w:tcPr>
            <w:tcW w:w="140" w:type="dxa"/>
            <w:vAlign w:val="bottom"/>
          </w:tcPr>
          <w:p>
            <w:pPr>
              <w:spacing w:after="0"/>
              <w:rPr>
                <w:sz w:val="13"/>
                <w:szCs w:val="13"/>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87"/>
              </w:rPr>
              <w:t>(d)</w:t>
            </w:r>
          </w:p>
        </w:tc>
      </w:tr>
      <w:tr>
        <w:trPr>
          <w:trHeight w:val="115"/>
        </w:trPr>
        <w:tc>
          <w:tcPr>
            <w:tcW w:w="1920" w:type="dxa"/>
            <w:vAlign w:val="bottom"/>
            <w:tcBorders>
              <w:top w:val="single" w:sz="8" w:color="CCEEFF"/>
              <w:left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r>
      <w:tr>
        <w:trPr>
          <w:trHeight w:val="20"/>
        </w:trPr>
        <w:tc>
          <w:tcPr>
            <w:tcW w:w="1420" w:type="dxa"/>
            <w:vAlign w:val="bottom"/>
            <w:tcBorders>
              <w:left w:val="single" w:sz="8" w:color="CCEEFF"/>
            </w:tcBorders>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r>
      <w:tr>
        <w:trPr>
          <w:trHeight w:val="128"/>
        </w:trPr>
        <w:tc>
          <w:tcPr>
            <w:tcW w:w="14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192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Collection and Disposal:</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35"/>
        </w:trPr>
        <w:tc>
          <w:tcPr>
            <w:tcW w:w="19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East Tier</w:t>
            </w:r>
          </w:p>
        </w:tc>
        <w:tc>
          <w:tcPr>
            <w:tcW w:w="140" w:type="dxa"/>
            <w:vAlign w:val="bottom"/>
          </w:tcPr>
          <w:p>
            <w:pPr>
              <w:jc w:val="right"/>
              <w:ind w:right="2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8,412</w:t>
            </w:r>
          </w:p>
        </w:tc>
        <w:tc>
          <w:tcPr>
            <w:tcW w:w="6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2,121</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10,533</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6,747</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358</w:t>
            </w:r>
          </w:p>
        </w:tc>
        <w:tc>
          <w:tcPr>
            <w:tcW w:w="6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986</w:t>
            </w:r>
          </w:p>
        </w:tc>
        <w:tc>
          <w:tcPr>
            <w:tcW w:w="1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2,446</w:t>
            </w:r>
          </w:p>
        </w:tc>
        <w:tc>
          <w:tcPr>
            <w:tcW w:w="6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926</w:t>
            </w:r>
          </w:p>
        </w:tc>
      </w:tr>
      <w:tr>
        <w:trPr>
          <w:trHeight w:val="135"/>
        </w:trPr>
        <w:tc>
          <w:tcPr>
            <w:tcW w:w="1920" w:type="dxa"/>
            <w:vAlign w:val="bottom"/>
            <w:tcBorders>
              <w:left w:val="single" w:sz="8" w:color="CCEEFF"/>
            </w:tcBorders>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West Tier</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7,935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1,962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9,897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6,352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2,383</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899</w:t>
            </w:r>
          </w:p>
        </w:tc>
      </w:tr>
      <w:tr>
        <w:trPr>
          <w:trHeight w:val="135"/>
        </w:trPr>
        <w:tc>
          <w:tcPr>
            <w:tcW w:w="192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Ancillary</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2,518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2,711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2,575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r>
      <w:tr>
        <w:trPr>
          <w:trHeight w:val="128"/>
        </w:trPr>
        <w:tc>
          <w:tcPr>
            <w:tcW w:w="1920" w:type="dxa"/>
            <w:vAlign w:val="bottom"/>
            <w:tcBorders>
              <w:top w:val="single" w:sz="8" w:color="CCEEFF"/>
              <w:left w:val="single" w:sz="8" w:color="CCEEFF"/>
            </w:tcBorders>
            <w:gridSpan w:val="2"/>
            <w:shd w:val="clear" w:color="auto" w:fill="CCEEFF"/>
          </w:tcPr>
          <w:p>
            <w:pPr>
              <w:ind w:left="340"/>
              <w:spacing w:after="0" w:line="129" w:lineRule="exact"/>
              <w:rPr>
                <w:sz w:val="20"/>
                <w:szCs w:val="20"/>
                <w:color w:val="auto"/>
              </w:rPr>
            </w:pPr>
            <w:r>
              <w:rPr>
                <w:rFonts w:ascii="Times New Roman" w:cs="Times New Roman" w:eastAsia="Times New Roman" w:hAnsi="Times New Roman"/>
                <w:sz w:val="10"/>
                <w:szCs w:val="10"/>
                <w:color w:val="auto"/>
              </w:rPr>
              <w:t>Collection and Disposal</w:t>
            </w:r>
            <w:r>
              <w:rPr>
                <w:rFonts w:ascii="Times New Roman" w:cs="Times New Roman" w:eastAsia="Times New Roman" w:hAnsi="Times New Roman"/>
                <w:sz w:val="14"/>
                <w:szCs w:val="14"/>
                <w:color w:val="auto"/>
                <w:vertAlign w:val="superscript"/>
              </w:rPr>
              <w:t>(e)(f)</w:t>
            </w: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18,865</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4,276</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23,141</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15,674</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834</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1,812</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4,821</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1,853</w:t>
            </w: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Recycling Processing and Sales</w:t>
            </w:r>
            <w:r>
              <w:rPr>
                <w:rFonts w:ascii="Times New Roman" w:cs="Times New Roman" w:eastAsia="Times New Roman" w:hAnsi="Times New Roman"/>
                <w:sz w:val="15"/>
                <w:szCs w:val="15"/>
                <w:color w:val="auto"/>
                <w:vertAlign w:val="superscript"/>
              </w:rPr>
              <w:t>(a)(e)</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1,576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1,332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450</w:t>
            </w:r>
          </w:p>
        </w:tc>
      </w:tr>
      <w:tr>
        <w:trPr>
          <w:trHeight w:val="135"/>
        </w:trPr>
        <w:tc>
          <w:tcPr>
            <w:tcW w:w="192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1"/>
                <w:szCs w:val="11"/>
                <w:color w:val="auto"/>
              </w:rPr>
              <w:t>WM Renewable Energy</w:t>
            </w:r>
            <w:r>
              <w:rPr>
                <w:rFonts w:ascii="Times New Roman" w:cs="Times New Roman" w:eastAsia="Times New Roman" w:hAnsi="Times New Roman"/>
                <w:sz w:val="15"/>
                <w:szCs w:val="15"/>
                <w:color w:val="auto"/>
                <w:vertAlign w:val="superscript"/>
              </w:rPr>
              <w:t>(f)</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420</w:t>
            </w: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Corporate and Other</w:t>
            </w:r>
            <w:r>
              <w:rPr>
                <w:rFonts w:ascii="Times New Roman" w:cs="Times New Roman" w:eastAsia="Times New Roman" w:hAnsi="Times New Roman"/>
                <w:sz w:val="15"/>
                <w:szCs w:val="15"/>
                <w:color w:val="auto"/>
                <w:vertAlign w:val="superscript"/>
              </w:rPr>
              <w:t>(f)</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1,038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(1,281)</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w:t>
            </w:r>
          </w:p>
        </w:tc>
      </w:tr>
      <w:tr>
        <w:trPr>
          <w:trHeight w:val="128"/>
        </w:trPr>
        <w:tc>
          <w:tcPr>
            <w:tcW w:w="1920" w:type="dxa"/>
            <w:vAlign w:val="bottom"/>
            <w:tcBorders>
              <w:top w:val="single" w:sz="8" w:color="CCEEFF"/>
              <w:left w:val="single" w:sz="8" w:color="CCEEFF"/>
              <w:bottom w:val="single" w:sz="8" w:color="CCEEFF"/>
            </w:tcBorders>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20,426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4,613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25,039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17,204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1,941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2,071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3,575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2,838</w:t>
            </w:r>
          </w:p>
        </w:tc>
      </w:tr>
      <w:tr>
        <w:trPr>
          <w:trHeight w:val="20"/>
        </w:trPr>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16"/>
        </w:trPr>
        <w:tc>
          <w:tcPr>
            <w:tcW w:w="1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5"/>
        </w:trPr>
        <w:tc>
          <w:tcPr>
            <w:tcW w:w="192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Intercompany Elimination</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(4,613)</w:t>
            </w: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(4,598)</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28"/>
        </w:trPr>
        <w:tc>
          <w:tcPr>
            <w:tcW w:w="19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Net</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20,426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12,606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1,926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2,071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3,575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0"/>
        </w:trPr>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195" w:lineRule="exact"/>
        <w:rPr>
          <w:sz w:val="20"/>
          <w:szCs w:val="20"/>
          <w:color w:val="auto"/>
        </w:rPr>
      </w:pPr>
    </w:p>
    <w:tbl>
      <w:tblPr>
        <w:tblLayout w:type="fixed"/>
        <w:tblInd w:w="50" w:type="dxa"/>
        <w:tblCellMar>
          <w:top w:w="0" w:type="dxa"/>
          <w:left w:w="0" w:type="dxa"/>
          <w:bottom w:w="0" w:type="dxa"/>
          <w:right w:w="0" w:type="dxa"/>
        </w:tblCellMar>
      </w:tblPr>
      <w:tr>
        <w:trPr>
          <w:trHeight w:val="149"/>
        </w:trPr>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Intercompany</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Gross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Selling,</w:t>
            </w:r>
          </w:p>
        </w:tc>
        <w:tc>
          <w:tcPr>
            <w:tcW w:w="10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Depreciation,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40" w:type="dxa"/>
            <w:vAlign w:val="bottom"/>
          </w:tcPr>
          <w:p>
            <w:pPr>
              <w:spacing w:after="0"/>
              <w:rPr>
                <w:sz w:val="12"/>
                <w:szCs w:val="12"/>
                <w:color w:val="auto"/>
              </w:rPr>
            </w:pPr>
          </w:p>
        </w:tc>
        <w:tc>
          <w:tcPr>
            <w:tcW w:w="6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Capital</w:t>
            </w:r>
          </w:p>
        </w:tc>
      </w:tr>
      <w:tr>
        <w:trPr>
          <w:trHeight w:val="135"/>
        </w:trPr>
        <w:tc>
          <w:tcPr>
            <w:tcW w:w="1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4"/>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10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700" w:type="dxa"/>
            <w:vAlign w:val="bottom"/>
            <w:gridSpan w:val="4"/>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Operating</w:t>
            </w:r>
          </w:p>
        </w:tc>
        <w:tc>
          <w:tcPr>
            <w:tcW w:w="700" w:type="dxa"/>
            <w:vAlign w:val="bottom"/>
            <w:gridSpan w:val="4"/>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60" w:type="dxa"/>
            <w:vAlign w:val="bottom"/>
          </w:tcPr>
          <w:p>
            <w:pPr>
              <w:spacing w:after="0"/>
              <w:rPr>
                <w:sz w:val="11"/>
                <w:szCs w:val="11"/>
                <w:color w:val="auto"/>
              </w:rPr>
            </w:pPr>
          </w:p>
        </w:tc>
        <w:tc>
          <w:tcPr>
            <w:tcW w:w="82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General, and</w:t>
            </w:r>
          </w:p>
        </w:tc>
        <w:tc>
          <w:tcPr>
            <w:tcW w:w="100" w:type="dxa"/>
            <w:vAlign w:val="bottom"/>
          </w:tcPr>
          <w:p>
            <w:pPr>
              <w:spacing w:after="0"/>
              <w:rPr>
                <w:sz w:val="11"/>
                <w:szCs w:val="11"/>
                <w:color w:val="auto"/>
              </w:rPr>
            </w:pPr>
          </w:p>
        </w:tc>
        <w:tc>
          <w:tcPr>
            <w:tcW w:w="64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7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Depletion and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from</w:t>
            </w: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Expenditures</w:t>
            </w:r>
          </w:p>
        </w:tc>
      </w:tr>
      <w:tr>
        <w:trPr>
          <w:trHeight w:val="155"/>
        </w:trPr>
        <w:tc>
          <w:tcPr>
            <w:tcW w:w="1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Revenues(b)</w:t>
            </w:r>
          </w:p>
        </w:tc>
        <w:tc>
          <w:tcPr>
            <w:tcW w:w="60" w:type="dxa"/>
            <w:vAlign w:val="bottom"/>
          </w:tcPr>
          <w:p>
            <w:pPr>
              <w:spacing w:after="0"/>
              <w:rPr>
                <w:sz w:val="13"/>
                <w:szCs w:val="13"/>
                <w:color w:val="auto"/>
              </w:rPr>
            </w:pPr>
          </w:p>
        </w:tc>
        <w:tc>
          <w:tcPr>
            <w:tcW w:w="6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60" w:type="dxa"/>
            <w:vAlign w:val="bottom"/>
          </w:tcPr>
          <w:p>
            <w:pPr>
              <w:spacing w:after="0"/>
              <w:rPr>
                <w:sz w:val="13"/>
                <w:szCs w:val="13"/>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3"/>
              </w:rPr>
              <w:t>Expenses</w:t>
            </w:r>
          </w:p>
        </w:tc>
        <w:tc>
          <w:tcPr>
            <w:tcW w:w="8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Administrative</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Expenses(g)</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8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Operations(c)</w:t>
            </w:r>
          </w:p>
        </w:tc>
        <w:tc>
          <w:tcPr>
            <w:tcW w:w="140" w:type="dxa"/>
            <w:vAlign w:val="bottom"/>
          </w:tcPr>
          <w:p>
            <w:pPr>
              <w:spacing w:after="0"/>
              <w:rPr>
                <w:sz w:val="13"/>
                <w:szCs w:val="13"/>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87"/>
              </w:rPr>
              <w:t>(d)</w:t>
            </w:r>
          </w:p>
        </w:tc>
      </w:tr>
      <w:tr>
        <w:trPr>
          <w:trHeight w:val="115"/>
        </w:trPr>
        <w:tc>
          <w:tcPr>
            <w:tcW w:w="1920" w:type="dxa"/>
            <w:vAlign w:val="bottom"/>
            <w:tcBorders>
              <w:top w:val="single" w:sz="8" w:color="CCEEFF"/>
              <w:left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r>
      <w:tr>
        <w:trPr>
          <w:trHeight w:val="20"/>
        </w:trPr>
        <w:tc>
          <w:tcPr>
            <w:tcW w:w="1420" w:type="dxa"/>
            <w:vAlign w:val="bottom"/>
            <w:tcBorders>
              <w:left w:val="single" w:sz="8" w:color="CCEEFF"/>
            </w:tcBorders>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r>
      <w:tr>
        <w:trPr>
          <w:trHeight w:val="128"/>
        </w:trPr>
        <w:tc>
          <w:tcPr>
            <w:tcW w:w="14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192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Collection and Disposal:</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35"/>
        </w:trPr>
        <w:tc>
          <w:tcPr>
            <w:tcW w:w="19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East Tier</w:t>
            </w:r>
          </w:p>
        </w:tc>
        <w:tc>
          <w:tcPr>
            <w:tcW w:w="140" w:type="dxa"/>
            <w:vAlign w:val="bottom"/>
          </w:tcPr>
          <w:p>
            <w:pPr>
              <w:jc w:val="right"/>
              <w:ind w:right="2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8,011</w:t>
            </w:r>
          </w:p>
        </w:tc>
        <w:tc>
          <w:tcPr>
            <w:tcW w:w="6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1,909</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9,920</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6,378</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341</w:t>
            </w:r>
          </w:p>
        </w:tc>
        <w:tc>
          <w:tcPr>
            <w:tcW w:w="6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977</w:t>
            </w:r>
          </w:p>
        </w:tc>
        <w:tc>
          <w:tcPr>
            <w:tcW w:w="1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2,178</w:t>
            </w:r>
          </w:p>
        </w:tc>
        <w:tc>
          <w:tcPr>
            <w:tcW w:w="6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948</w:t>
            </w:r>
          </w:p>
        </w:tc>
      </w:tr>
      <w:tr>
        <w:trPr>
          <w:trHeight w:val="135"/>
        </w:trPr>
        <w:tc>
          <w:tcPr>
            <w:tcW w:w="1920" w:type="dxa"/>
            <w:vAlign w:val="bottom"/>
            <w:tcBorders>
              <w:left w:val="single" w:sz="8" w:color="CCEEFF"/>
            </w:tcBorders>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West Tier</w:t>
            </w:r>
          </w:p>
        </w:tc>
        <w:tc>
          <w:tcPr>
            <w:tcW w:w="1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7,614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1,865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9,479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6,143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2,182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774</w:t>
            </w:r>
          </w:p>
        </w:tc>
      </w:tr>
      <w:tr>
        <w:trPr>
          <w:trHeight w:val="135"/>
        </w:trPr>
        <w:tc>
          <w:tcPr>
            <w:tcW w:w="192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Ancillary</w:t>
            </w:r>
          </w:p>
        </w:tc>
        <w:tc>
          <w:tcPr>
            <w:tcW w:w="14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2,218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2,413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2,278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r>
      <w:tr>
        <w:trPr>
          <w:trHeight w:val="128"/>
        </w:trPr>
        <w:tc>
          <w:tcPr>
            <w:tcW w:w="1920" w:type="dxa"/>
            <w:vAlign w:val="bottom"/>
            <w:tcBorders>
              <w:top w:val="single" w:sz="8" w:color="CCEEFF"/>
              <w:left w:val="single" w:sz="8" w:color="CCEEFF"/>
            </w:tcBorders>
            <w:gridSpan w:val="2"/>
            <w:shd w:val="clear" w:color="auto" w:fill="CCEEFF"/>
          </w:tcPr>
          <w:p>
            <w:pPr>
              <w:ind w:left="340"/>
              <w:spacing w:after="0" w:line="129" w:lineRule="exact"/>
              <w:rPr>
                <w:sz w:val="20"/>
                <w:szCs w:val="20"/>
                <w:color w:val="auto"/>
              </w:rPr>
            </w:pPr>
            <w:r>
              <w:rPr>
                <w:rFonts w:ascii="Times New Roman" w:cs="Times New Roman" w:eastAsia="Times New Roman" w:hAnsi="Times New Roman"/>
                <w:sz w:val="10"/>
                <w:szCs w:val="10"/>
                <w:color w:val="auto"/>
              </w:rPr>
              <w:t>Collection and Disposal</w:t>
            </w:r>
            <w:r>
              <w:rPr>
                <w:rFonts w:ascii="Times New Roman" w:cs="Times New Roman" w:eastAsia="Times New Roman" w:hAnsi="Times New Roman"/>
                <w:sz w:val="14"/>
                <w:szCs w:val="14"/>
                <w:color w:val="auto"/>
                <w:vertAlign w:val="superscript"/>
              </w:rPr>
              <w:t>(e)(f)</w:t>
            </w: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17,843</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3,969</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21,812</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14,799</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793</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1,816</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4,360</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1,762</w:t>
            </w: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Recycling Processing and Sales</w:t>
            </w:r>
            <w:r>
              <w:rPr>
                <w:rFonts w:ascii="Times New Roman" w:cs="Times New Roman" w:eastAsia="Times New Roman" w:hAnsi="Times New Roman"/>
                <w:sz w:val="15"/>
                <w:szCs w:val="15"/>
                <w:color w:val="auto"/>
                <w:vertAlign w:val="superscript"/>
              </w:rPr>
              <w:t>(e)</w:t>
            </w:r>
          </w:p>
        </w:tc>
        <w:tc>
          <w:tcPr>
            <w:tcW w:w="14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1,516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1,760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1,481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453</w:t>
            </w:r>
          </w:p>
        </w:tc>
      </w:tr>
      <w:tr>
        <w:trPr>
          <w:trHeight w:val="135"/>
        </w:trPr>
        <w:tc>
          <w:tcPr>
            <w:tcW w:w="192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1"/>
                <w:szCs w:val="11"/>
                <w:color w:val="auto"/>
              </w:rPr>
              <w:t>WM Renewable Energy</w:t>
            </w:r>
            <w:r>
              <w:rPr>
                <w:rFonts w:ascii="Times New Roman" w:cs="Times New Roman" w:eastAsia="Times New Roman" w:hAnsi="Times New Roman"/>
                <w:sz w:val="15"/>
                <w:szCs w:val="15"/>
                <w:color w:val="auto"/>
                <w:vertAlign w:val="superscript"/>
              </w:rPr>
              <w:t>(f)</w:t>
            </w:r>
          </w:p>
        </w:tc>
        <w:tc>
          <w:tcPr>
            <w:tcW w:w="1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312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290</w:t>
            </w: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Corporate and Other</w:t>
            </w:r>
            <w:r>
              <w:rPr>
                <w:rFonts w:ascii="Times New Roman" w:cs="Times New Roman" w:eastAsia="Times New Roman" w:hAnsi="Times New Roman"/>
                <w:sz w:val="15"/>
                <w:szCs w:val="15"/>
                <w:color w:val="auto"/>
                <w:vertAlign w:val="superscript"/>
              </w:rPr>
              <w:t>(f)</w:t>
            </w:r>
          </w:p>
        </w:tc>
        <w:tc>
          <w:tcPr>
            <w:tcW w:w="14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1,098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(1,255)</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w:t>
            </w:r>
          </w:p>
        </w:tc>
      </w:tr>
      <w:tr>
        <w:trPr>
          <w:trHeight w:val="129"/>
        </w:trPr>
        <w:tc>
          <w:tcPr>
            <w:tcW w:w="1920" w:type="dxa"/>
            <w:vAlign w:val="bottom"/>
            <w:tcBorders>
              <w:top w:val="single" w:sz="8" w:color="CCEEFF"/>
              <w:left w:val="single" w:sz="8" w:color="CCEEFF"/>
              <w:bottom w:val="single" w:sz="8" w:color="CCEEFF"/>
            </w:tcBorders>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19,698</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4,238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23,936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16,514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1,956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2,038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3,365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2,809</w:t>
            </w:r>
          </w:p>
        </w:tc>
      </w:tr>
      <w:tr>
        <w:trPr>
          <w:trHeight w:val="20"/>
        </w:trPr>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15"/>
        </w:trPr>
        <w:tc>
          <w:tcPr>
            <w:tcW w:w="1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5"/>
        </w:trPr>
        <w:tc>
          <w:tcPr>
            <w:tcW w:w="192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Intercompany Elimination</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(4,238)</w:t>
            </w: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(4,220)</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28"/>
        </w:trPr>
        <w:tc>
          <w:tcPr>
            <w:tcW w:w="19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Net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19,698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12,294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1,938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2,038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3,365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0"/>
        </w:trPr>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95"/>
        </w:trPr>
        <w:tc>
          <w:tcPr>
            <w:tcW w:w="14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r>
    </w:tbl>
    <w:p>
      <w:pPr>
        <w:spacing w:after="0" w:line="63" w:lineRule="exact"/>
        <w:rPr>
          <w:sz w:val="20"/>
          <w:szCs w:val="20"/>
          <w:color w:val="auto"/>
        </w:rPr>
      </w:pPr>
    </w:p>
    <w:p>
      <w:pPr>
        <w:jc w:val="both"/>
        <w:ind w:left="380" w:right="79" w:hanging="330"/>
        <w:spacing w:after="0" w:line="261" w:lineRule="auto"/>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included within income from operations for our Recycling Processing and Sales segment is a $168 million goodwill impairment charge related to a business engaged in accelerating film and plastic wrap recycling capabilities, which was partially offset by the recognition of $46 million of income related to the reversal of a liability for contingent consideration associated with our investment in such business.</w:t>
      </w:r>
    </w:p>
    <w:p>
      <w:pPr>
        <w:spacing w:after="0" w:line="71"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6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those items included in the determination of income from operations, the accounting policies of the segments are the same as those described in Note 2.</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items. Capital expenditures are reported in our reportable segments at the time they are recorded within the segments’ property and equipment balances and, therefore, include timing differences for amounts accrued but not yet paid.</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fees related to the processing of recycled material we collect are included within our Collection and Disposal businesses. The amounts in income from operations for the years ended December 31, 2024, 2023 and 2022 are $100 million, $61 million and $77 million, respectively.</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Renewable Energy pays a 15% intercompany royalty to our Collection and Disposal and Corporate and Other businesses for landfill gas. The total amount of royalties in gross and intercompany operating revenues for the East Tier, West Tier, and Corporate and Other and in operating expenses for WM Renewable Energy for the years ended December 31, 2024, 2023 and 2022 are $48 million, $41 million and $47 million, respectively. Prior to the fourth</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quarter of 2024, amounts related to intercompany royalty payments were adjusted through income from operations.</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Prior periods have been recast to conform to current year presentation.</w:t>
      </w:r>
    </w:p>
    <w:p>
      <w:pPr>
        <w:spacing w:after="0" w:line="99" w:lineRule="exact"/>
        <w:rPr>
          <w:sz w:val="20"/>
          <w:szCs w:val="20"/>
          <w:color w:val="auto"/>
        </w:rPr>
      </w:pPr>
    </w:p>
    <w:p>
      <w:pPr>
        <w:ind w:left="380" w:right="79" w:hanging="330"/>
        <w:spacing w:after="0" w:line="282" w:lineRule="auto"/>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net expenses include restructuring expenses, (gain) loss from divestitures, and asset impairments and unusual items, net.</w:t>
      </w:r>
    </w:p>
    <w:p>
      <w:pPr>
        <w:spacing w:after="0" w:line="53"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by reportable segment as of December 31 are as follows (in millions):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40" w:type="dxa"/>
            <w:vAlign w:val="bottom"/>
            <w:tcBorders>
              <w:bottom w:val="single" w:sz="8" w:color="CCEEFF"/>
            </w:tcBorders>
          </w:tcPr>
          <w:p>
            <w:pPr>
              <w:spacing w:after="0"/>
              <w:rPr>
                <w:sz w:val="15"/>
                <w:szCs w:val="15"/>
                <w:color w:val="auto"/>
              </w:rPr>
            </w:pPr>
          </w:p>
        </w:tc>
        <w:tc>
          <w:tcPr>
            <w:tcW w:w="28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East Tier</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15,328</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West Tier</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Ancillary</w:t>
            </w:r>
          </w:p>
        </w:tc>
        <w:tc>
          <w:tcPr>
            <w:tcW w:w="2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Collection and Disposal</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Elimination of intercompany investments and advances</w:t>
            </w:r>
          </w:p>
        </w:tc>
        <w:tc>
          <w:tcPr>
            <w:tcW w:w="2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per Consolidated Balance Sheet</w:t>
            </w:r>
          </w:p>
        </w:tc>
        <w:tc>
          <w:tcPr>
            <w:tcW w:w="28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60" w:type="dxa"/>
            <w:vAlign w:val="bottom"/>
            <w:vMerge w:val="restart"/>
          </w:tcPr>
          <w:p>
            <w:pPr>
              <w:jc w:val="right"/>
              <w:ind w:right="2330"/>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mix of operating revenues from our major lines of business for the year ended December 31 are as follows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3"/>
                <w:szCs w:val="13"/>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200" w:type="dxa"/>
            <w:vAlign w:val="bottom"/>
          </w:tcPr>
          <w:p>
            <w:pPr>
              <w:spacing w:after="0"/>
              <w:rPr>
                <w:sz w:val="13"/>
                <w:szCs w:val="13"/>
                <w:color w:val="auto"/>
              </w:rPr>
            </w:pPr>
          </w:p>
        </w:tc>
        <w:tc>
          <w:tcPr>
            <w:tcW w:w="118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2"/>
                <w:szCs w:val="12"/>
                <w:color w:val="auto"/>
              </w:rPr>
            </w:pPr>
          </w:p>
        </w:tc>
        <w:tc>
          <w:tcPr>
            <w:tcW w:w="15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2"/>
                <w:szCs w:val="12"/>
                <w:color w:val="auto"/>
              </w:rPr>
            </w:pPr>
          </w:p>
        </w:tc>
        <w:tc>
          <w:tcPr>
            <w:tcW w:w="1180" w:type="dxa"/>
            <w:vAlign w:val="bottom"/>
          </w:tcPr>
          <w:p>
            <w:pPr>
              <w:jc w:val="center"/>
              <w:ind w:right="111"/>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4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4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5"/>
                <w:szCs w:val="15"/>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Revenues(a)(b)</w:t>
            </w:r>
          </w:p>
        </w:tc>
        <w:tc>
          <w:tcPr>
            <w:tcW w:w="200" w:type="dxa"/>
            <w:vAlign w:val="bottom"/>
          </w:tcPr>
          <w:p>
            <w:pPr>
              <w:spacing w:after="0"/>
              <w:rPr>
                <w:sz w:val="15"/>
                <w:szCs w:val="15"/>
                <w:color w:val="auto"/>
              </w:rPr>
            </w:pPr>
          </w:p>
        </w:tc>
        <w:tc>
          <w:tcPr>
            <w:tcW w:w="118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Revenues(b)</w:t>
            </w:r>
          </w:p>
        </w:tc>
        <w:tc>
          <w:tcPr>
            <w:tcW w:w="0" w:type="dxa"/>
            <w:vAlign w:val="bottom"/>
          </w:tcPr>
          <w:p>
            <w:pPr>
              <w:spacing w:after="0"/>
              <w:rPr>
                <w:sz w:val="1"/>
                <w:szCs w:val="1"/>
                <w:color w:val="auto"/>
              </w:rPr>
            </w:pPr>
          </w:p>
        </w:tc>
      </w:tr>
      <w:tr>
        <w:trPr>
          <w:trHeight w:val="156"/>
        </w:trPr>
        <w:tc>
          <w:tcPr>
            <w:tcW w:w="4140" w:type="dxa"/>
            <w:vAlign w:val="bottom"/>
            <w:gridSpan w:val="3"/>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3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0" w:type="dxa"/>
            <w:vAlign w:val="bottom"/>
          </w:tcPr>
          <w:p>
            <w:pPr>
              <w:spacing w:after="0"/>
              <w:rPr>
                <w:sz w:val="1"/>
                <w:szCs w:val="1"/>
                <w:color w:val="auto"/>
              </w:rPr>
            </w:pPr>
          </w:p>
        </w:tc>
      </w:tr>
      <w:tr>
        <w:trPr>
          <w:trHeight w:val="216"/>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16,801</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24,207</w:t>
            </w:r>
          </w:p>
        </w:tc>
        <w:tc>
          <w:tcPr>
            <w:tcW w:w="0" w:type="dxa"/>
            <w:vAlign w:val="bottom"/>
          </w:tcPr>
          <w:p>
            <w:pPr>
              <w:spacing w:after="0"/>
              <w:rPr>
                <w:sz w:val="1"/>
                <w:szCs w:val="1"/>
                <w:color w:val="auto"/>
              </w:rPr>
            </w:pPr>
          </w:p>
        </w:tc>
      </w:tr>
      <w:tr>
        <w:trPr>
          <w:trHeight w:val="216"/>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WM Healthcare Solutions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41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3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3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26,879</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0" w:type="dxa"/>
            <w:vAlign w:val="bottom"/>
          </w:tcPr>
          <w:p>
            <w:pPr>
              <w:spacing w:after="0"/>
              <w:rPr>
                <w:sz w:val="1"/>
                <w:szCs w:val="1"/>
                <w:color w:val="auto"/>
              </w:rPr>
            </w:pPr>
          </w:p>
        </w:tc>
      </w:tr>
      <w:tr>
        <w:trPr>
          <w:trHeight w:val="216"/>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16,117</w:t>
            </w:r>
          </w:p>
        </w:tc>
        <w:tc>
          <w:tcPr>
            <w:tcW w:w="0" w:type="dxa"/>
            <w:vAlign w:val="bottom"/>
          </w:tcPr>
          <w:p>
            <w:pPr>
              <w:spacing w:after="0"/>
              <w:rPr>
                <w:sz w:val="1"/>
                <w:szCs w:val="1"/>
                <w:color w:val="auto"/>
              </w:rPr>
            </w:pPr>
          </w:p>
        </w:tc>
      </w:tr>
      <w:tr>
        <w:trPr>
          <w:trHeight w:val="216"/>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23,141</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16"/>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41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3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3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25,039</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0" w:type="dxa"/>
            <w:vAlign w:val="bottom"/>
          </w:tcPr>
          <w:p>
            <w:pPr>
              <w:spacing w:after="0"/>
              <w:rPr>
                <w:sz w:val="1"/>
                <w:szCs w:val="1"/>
                <w:color w:val="auto"/>
              </w:rPr>
            </w:pPr>
          </w:p>
        </w:tc>
      </w:tr>
      <w:tr>
        <w:trPr>
          <w:trHeight w:val="216"/>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w:t>
            </w:r>
          </w:p>
        </w:tc>
        <w:tc>
          <w:tcPr>
            <w:tcW w:w="0" w:type="dxa"/>
            <w:vAlign w:val="bottom"/>
          </w:tcPr>
          <w:p>
            <w:pPr>
              <w:spacing w:after="0"/>
              <w:rPr>
                <w:sz w:val="1"/>
                <w:szCs w:val="1"/>
                <w:color w:val="auto"/>
              </w:rPr>
            </w:pPr>
          </w:p>
        </w:tc>
      </w:tr>
      <w:tr>
        <w:trPr>
          <w:trHeight w:val="216"/>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21,812</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16"/>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19,698</w:t>
            </w:r>
          </w:p>
        </w:tc>
        <w:tc>
          <w:tcPr>
            <w:tcW w:w="3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3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720" w:right="79" w:hanging="319"/>
        <w:spacing w:after="0" w:line="266" w:lineRule="auto"/>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2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2024, the Company adjusted gross and intercompany operating revenues to reflect the 15% royalty paid by WM Renewable Energy to Collection and Disposal and Corporate and Other businesses for the purchase of landfill gas. There was no change to net operating revenues. Prior periods were recast to conform to current year presentation.</w:t>
      </w:r>
    </w:p>
    <w:p>
      <w:pPr>
        <w:spacing w:after="0" w:line="12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2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2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operating revenues relating to operations for the year ended December 31 are as follows (in millions):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40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18,860</w:t>
            </w: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Europe and other (a) (b)</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6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r>
    </w:tbl>
    <w:p>
      <w:pPr>
        <w:spacing w:after="0" w:line="63" w:lineRule="exact"/>
        <w:rPr>
          <w:sz w:val="20"/>
          <w:szCs w:val="20"/>
          <w:color w:val="auto"/>
        </w:rPr>
      </w:pPr>
    </w:p>
    <w:p>
      <w:pPr>
        <w:ind w:left="720" w:right="79" w:hanging="319"/>
        <w:spacing w:after="0" w:line="282" w:lineRule="auto"/>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primarily relates to the impact of operations from the U.K., Ireland, Belgium, France, Germany, Luxembourg, and the Netherlands as a result of the Stericycle acquisition.</w:t>
      </w:r>
    </w:p>
    <w:p>
      <w:pPr>
        <w:spacing w:after="0" w:line="14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primarily relates to an acquired smaller recycling-related operations in the Netherlands.</w:t>
      </w:r>
    </w:p>
    <w:p>
      <w:pPr>
        <w:spacing w:after="0" w:line="212"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net of accumulated depreciation and depletion, relating to operations as of December 31 are as follows (in millions):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Borders>
              <w:bottom w:val="single" w:sz="8" w:color="CCEEFF"/>
            </w:tcBorders>
          </w:tcPr>
          <w:p>
            <w:pPr>
              <w:spacing w:after="0"/>
              <w:rPr>
                <w:sz w:val="15"/>
                <w:szCs w:val="15"/>
                <w:color w:val="auto"/>
              </w:rPr>
            </w:pPr>
          </w:p>
        </w:tc>
        <w:tc>
          <w:tcPr>
            <w:tcW w:w="48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15,903</w:t>
            </w:r>
          </w:p>
        </w:tc>
      </w:tr>
      <w:tr>
        <w:trPr>
          <w:trHeight w:val="216"/>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16"/>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Europe and other (a) (b)</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19,340</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16,968</w:t>
            </w:r>
          </w:p>
        </w:tc>
      </w:tr>
      <w:tr>
        <w:trPr>
          <w:trHeight w:val="20"/>
        </w:trPr>
        <w:tc>
          <w:tcPr>
            <w:tcW w:w="22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r>
    </w:tbl>
    <w:p>
      <w:pPr>
        <w:spacing w:after="0" w:line="63" w:lineRule="exact"/>
        <w:rPr>
          <w:sz w:val="20"/>
          <w:szCs w:val="20"/>
          <w:color w:val="auto"/>
        </w:rPr>
      </w:pPr>
    </w:p>
    <w:p>
      <w:pPr>
        <w:ind w:left="720" w:right="79" w:hanging="319"/>
        <w:spacing w:after="0" w:line="282" w:lineRule="auto"/>
        <w:tabs>
          <w:tab w:leader="none" w:pos="7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primarily relates to the impact of operations from the U.K., Ireland, Belgium, France, Germany, Luxembourg, and the Netherlands as a result of the Stericycle acquisition.</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primarily relates to an acquired smaller recycling-related operations in the Netherlands.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Effectiveness of Disclosure Controls and Procedures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(as defined in Rules 13a-15(e) and 15d-15(e) of the Securities Exchange Act of 1934, as amended)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December 31, 2024 (the end of the period covered by this Annual Report on Form 10-K) at a reasonable assurance level.</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Management of the Company, including the principal executive and financial officers, is responsible for establishing and maintaining adequate internal control over financial reporting, as defined in Rules 13a-15(f) and 15d-15(f) of the Securities Exchange Act of 1934, as amended. Our management conducted an evaluation of the effectiveness of our internal control over financial reporting based on the 2013 framework in Internal Control—Integrated Framework issued by the Committee of Sponsoring Organizations of the Treadway Commission (the COSO criteria). Our internal controls are designed to provide reasonable assurance as to the reliability of our financial reporting and the preparation of the consolidated financial statements for external purposes in accordance with accounting principles generally accepted in the United States and includes those policies and procedures that:</w:t>
      </w:r>
    </w:p>
    <w:p>
      <w:pPr>
        <w:spacing w:after="0" w:line="192" w:lineRule="exact"/>
        <w:rPr>
          <w:sz w:val="20"/>
          <w:szCs w:val="20"/>
          <w:color w:val="auto"/>
        </w:rPr>
      </w:pPr>
    </w:p>
    <w:p>
      <w:pPr>
        <w:ind w:left="720" w:right="79" w:hanging="319"/>
        <w:spacing w:after="0" w:line="282" w:lineRule="auto"/>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Management of the Company assessed the effectiveness of our internal control over financial reporting as of December 31, 2024 based on the 2013 framework in Internal Control—Integrated Framework issued by the Committee of Sponsoring Organizations of the Treadway Commission (the COSO criteria). Based on this assessment, management has concluded that our internal control over financial reporting was effective as of December 31, 2024. On November 4, 2024 we consummated our acquisition of Stericycle, Inc. (“Stericycle”). As permitted by the SEC rules and regulations, management's assessment did not include the internal controls of the acquired operations of Stericycle, which are included in our consolidated financial statements as of December 31, 2024 and for the period from the acquisition date through December 31, 2024. In accordance with our integration efforts, we plan to incorporate the acquired operations of Stericycle into our internal control over financial reporting program within the time period provided by applicable SEC rules and</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regulations. The assets, excluding goodwill, of the acquired operations of Stericycle constituted approximately 13.0% of total assets as of December 31, 2024. Operating results of the acquired operations of Stericycle comprised approximately 1.8% of consolidated operating revenues for the year ended December 31, 2024.</w:t>
      </w:r>
    </w:p>
    <w:p>
      <w:pPr>
        <w:spacing w:after="0" w:line="176"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has been audited by Ernst &amp; Young LLP, the independent registered public accounting firm that audited our consolidated financial statements, as stated in their report, which is included in Item 8 of this Annual Report on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Management, together with our CEO and CFO, evaluated the changes in our internal control over financial reporting during the quarter ended December 31, 2024. We determined that there were no changes in our internal control over financial reporting during the quarter ended December 31, 2024 that have materially affected, or are reasonably likely to materially affect, our internal control over financial reporting.</w:t>
      </w:r>
    </w:p>
    <w:p>
      <w:pPr>
        <w:spacing w:after="0" w:line="176"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November 5, 2024, James C. Fish, Jr., President, Chief Executive Officer and member of our Board of Directors, adopted a stock trading plan (the “Fish Trading Plan”). The Fish Trading Plan went into effect on the date of adoption and was not intended to satisfy the affirmative defense of Rule 10b5-1(c) under the Exchange Act. The Fish Trading Plan provided for the exercise of 44,125 vested stock options upon our common stock reaching a specified market price on or before December 6, 2024. The options were automatically exercised pursuant to such terms, and the Company withheld shares of common stock necessary to cover tax requirements and the exercise price of such options. All remaining shares of common stock resulting from the option exercise after the net share settlement process were delivered to Mr. Fish.</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November 5, 2024, Mr. Fish adopted a stock trading plan (the “Second Fish Trading Plan”) intended to satisfy the affirmative defense of Rule 10b5-1(c) under the Exchange Act. The Second Fish Trading Plan will commence two business days following the filing of this Annual Report on Form 10-K, and will automatically terminate on the earlier of February 3, 2026 and the completion of all of the contemplated transactions set forth therein. The Second Fish Trading Plan provides for the potential sale of all net after-tax shares of our common stock received from the payout of performance share unit (“PSU”) equity compensation awards for the performance period ended December 31, 2024, upon our common stock reaching specified market prices. Mr. Fish received a target grant of 47,620 PSU awards with a performance period ended December 31, 2024; the number of shares to be paid out to Mr. Fish on account of these PSU awards can range from zero to 200% of the initial target grant. As a result, the number of shares of common stock to potentially be sold pursuant to the Second Fish Trading Plan will be determined in the first quarter of 2025 based on certification by the Management Development and Compensation Committee of the Board of Directors of the Company’s achievement relative to applicable performance measures for the underlying PSU awards.</w:t>
      </w:r>
    </w:p>
    <w:p>
      <w:pPr>
        <w:spacing w:after="0" w:line="190"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On November 5, 2024, Michael J. Watson, Senior Vice President and Chief Customer Officer, adopted a stock trading plan (the “Watson Trading Plan”) intended to satisfy the affirmative defense of Rule 10b5-1(c) under the Exchange Act. The Watson Trading Plan will commence two business days following the filing of this Annual Report on Form 10-K and will automatically terminate on the earlier of February 12, 2026 and the completion of all of the contemplated transactions set forth therein. The Watson Trading Plan provides for (i) the sale of 3,000 shares of our common stock; (ii) the potential cashless exercise of 11,594 stock options, pursuant to which shares of common stock will be sold to cover option costs, tax obligations, commissions and fees, and Mr. Watson will then continue to hold all remaining shares of common stock resulting from the option exercise after the settlement; (iii) the potential sale of 50% of net after-tax shares of our common stock received from the vesting on March 1, 2025 of 5,102 restricted share unit (“RSU”) equity compensation awards and</w:t>
      </w:r>
    </w:p>
    <w:p>
      <w:pPr>
        <w:spacing w:after="0" w:line="6" w:lineRule="exact"/>
        <w:rPr>
          <w:sz w:val="20"/>
          <w:szCs w:val="20"/>
          <w:color w:val="auto"/>
        </w:rPr>
      </w:pPr>
    </w:p>
    <w:p>
      <w:pPr>
        <w:jc w:val="both"/>
        <w:ind w:left="60" w:right="59" w:hanging="10"/>
        <w:spacing w:after="0" w:line="253" w:lineRule="auto"/>
        <w:tabs>
          <w:tab w:leader="none" w:pos="40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sale of 50% of net after-tax shares of our common stock received from the payout of PSU equity compensation awards for the performance period ended December 31, 2024. Each of the contemplated transactions will occur upon our common stock reaching specified market prices. Mr. Watson received a target grant of 5,986 PSU awards with a performance period ended December 31, 2024; the number of shares to be paid out to Mr. Watson on account of</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these PSU awards can range from zero to 200% of the initial target grant. As a result, as described above in connection with the Second Fish Trading Plan, the number of shares of common stock to potentially be sold pursuant to the Watson Trading Plan will be determined in the first quarter of 2025.</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November 8, 2024, Mr. Charles C. Boettcher, Executive Vice President and Chief Legal Officer, adopted a stock trading plan (the “Boettcher Trading Plan”). The Boettcher Trading Plan went into effect on the date of adoption and was not intended to satisfy the affirmative defense of Rule 10b5-1(c) under the Exchange Act. The Boettcher Trading Plan provided for the exercise of 7,500 vested stock options upon our common stock reaching a specified market price on or before December 6, 2024. The options were automatically exercised pursuant to such terms, and the Company withheld shares of common stock necessary to cover tax requirements and the exercise price of such options. All remaining shares of common stock resulting from the option exercise after the net share settlement process were delivered to Mr. Boettcher.</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November 26, 2024, Mr. Fish adopted a stock trading plan (the “Third Fish Trading Plan”). The Third Fish Trading Plan went into effect on the date of adoption and was not intended to satisfy the affirmative defense of Rule 10b5 1(c) under the Exchange Act. The Third Fish Trading Plan provided for the exercise of 19,805 vested stock options upon our common stock reaching a specified market price on or before December 6, 2024. The options were automatically exercised pursuant to such terms, and the Company withheld shares of common stock necessary to cover tax requirements and the exercise price of such options. All remaining shares of common stock resulting from the option exercise after the net share settlement process were delivered to Mr. Fish.</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November 26, 2024, Mr. Boettcher, adopted a stock trading plan (the “Second Boettcher Trading Plan”). The Second Boettcher Trading Plan went into effect on the date of adoption and was not intended to satisfy the affirmative defense of Rule 10b5-1(c) under the Exchange Act. The Second Boettcher Trading Plan provided for the exercise of 8,458 vested stock options upon our common stock reaching a specified market price on or before December 4, 2024. The options were automatically exercised pursuant to such terms, and the Company withheld shares of common stock necessary to cover tax requirements and the exercise price of such options. All remaining shares of common stock resulting from the option exercise after the net share settlement process were delivered to Mr. Boettcher.</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December 4, 2024, John J. Morris, Jr., Executive Vice President and Chief Operating Officer, adopted a stock trading plan (the “Morris Trading Plan”) intended to satisfy the affirmative defense of Rule 10b5-1(c) under the Exchange Act. The Morris Trading Plan will commence on March 7, 2025 and will automatically terminate on the earlier of March 6, 2026 and the completion of all of the contemplated transactions set forth therein. The Morris Trading Plan provides for (i) the potential sale of all net after-tax shares of our common stock received from the vesting on March 1, 2025 of 10,204 RSU equity compensation awards and (ii) the potential sale of all net after-tax shares of our common stock received from the payout of PSU equity compensation awards for the performance period ended December 31, 2024. Each of the contemplated transactions will occur upon our common stock reaching specified market prices. Mr. Morris received a target grant of 14,150 PSU awards with a performance period ended December 31, 2024; the number of shares to be paid out to Mr. Morris on account of these PSU awards can range from zero to 200% of the initial target grant. As a result, as described above in connection with the Second Fish Trading Plan, the number of shares of common stock to potentially be sold pursuant to the Morris Trading Plan will be determined in the first quarter of 2025.</w:t>
      </w:r>
    </w:p>
    <w:p>
      <w:pPr>
        <w:spacing w:after="0" w:line="200" w:lineRule="exact"/>
        <w:rPr>
          <w:sz w:val="20"/>
          <w:szCs w:val="20"/>
          <w:color w:val="auto"/>
        </w:rPr>
      </w:pPr>
    </w:p>
    <w:p>
      <w:pPr>
        <w:spacing w:after="0" w:line="310"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8"/>
          <w:szCs w:val="18"/>
          <w:b w:val="1"/>
          <w:bCs w:val="1"/>
          <w:i w:val="1"/>
          <w:iCs w:val="1"/>
          <w:color w:val="auto"/>
        </w:rPr>
        <w:t>Disclosure Regarding Foreign Jurisdictions that Prevent Inspections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that applies to our CEO, CFO and Chief Accounting Officer, as well as other officers, directors and employees of the Company. The code of ethics, entitled “Code of Conduct,” is available on-line at investors.wm.com in the tab “ESG — Corporate Governance” (investors.wm.com/esg-practices/governance). We intend</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to post any amendments to the Code of Conduct that apply to our officers and directors, and any required disclosure of waivers from the Code of Conduct, to the “ESG – Corporate Governance” tab at investors.wm.com.</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 of Company securities by directors, officers, employees, contractors and consultants providing services to the Company, as well as by the Company itself, that we believe is reasonably designed to promote compliance with insider trading laws, rules and regulations and New York Stock Exchange listing standards. The foregoing summary of the Insider Trading Policy does not purport to be complete and is qualified in its entirety by reference to the full text of the Insider Trading Policy filed as Exhibit 19.1 to this Annual Report.</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All other information required by this Item will be included in the Company’s definitive proxy statement for its 2025 Annual Meeting of Stockholders (the “2025 Proxy Statement”) to be filed with SEC within 120 days of the end of our fiscal year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(1) Consolidated Financial Statements:</w:t>
      </w:r>
    </w:p>
    <w:p>
      <w:pPr>
        <w:spacing w:after="0" w:line="225" w:lineRule="exact"/>
        <w:rPr>
          <w:sz w:val="20"/>
          <w:szCs w:val="20"/>
          <w:color w:val="auto"/>
        </w:rPr>
      </w:pPr>
    </w:p>
    <w:p>
      <w:pPr>
        <w:ind w:left="380" w:right="3999"/>
        <w:spacing w:after="0" w:line="276" w:lineRule="auto"/>
        <w:rPr>
          <w:sz w:val="20"/>
          <w:szCs w:val="20"/>
          <w:color w:val="auto"/>
        </w:rPr>
      </w:pPr>
      <w:r>
        <w:rPr>
          <w:rFonts w:ascii="Times New Roman" w:cs="Times New Roman" w:eastAsia="Times New Roman" w:hAnsi="Times New Roman"/>
          <w:sz w:val="17"/>
          <w:szCs w:val="17"/>
          <w:color w:val="auto"/>
        </w:rPr>
        <w:t>Reports of Independent Registered Public Accounting Firm Consolidated Balance Sheets as of December 31, 2024 and 2023</w:t>
      </w:r>
    </w:p>
    <w:p>
      <w:pPr>
        <w:spacing w:after="0" w:line="1" w:lineRule="exact"/>
        <w:rPr>
          <w:sz w:val="20"/>
          <w:szCs w:val="20"/>
          <w:color w:val="auto"/>
        </w:rPr>
      </w:pPr>
    </w:p>
    <w:p>
      <w:pPr>
        <w:ind w:left="380" w:right="879"/>
        <w:spacing w:after="0" w:line="253" w:lineRule="auto"/>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2024, 2023 and 2022 Consolidated Statements of Comprehensive Income for the years ended December 31, 2024, 2023 and 2022 Consolidated Statements of Cash Flows for the years ended December 31, 2024, 2023 and 2022 Consolidated Statements of Changes in Equity for the years ended December 31, 2024, 2023 and 2022 Notes to Consolidated Financial Statements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(2) Consolidated Financial Statement Schedules:</w:t>
      </w:r>
    </w:p>
    <w:p>
      <w:pPr>
        <w:spacing w:after="0" w:line="225"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 required information is not significant or is included in the financial statements or notes thereto, or is not applicable.</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(3) Exhibits: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restart"/>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340" w:type="dxa"/>
            <w:vAlign w:val="bottom"/>
            <w:tcBorders>
              <w:bottom w:val="single" w:sz="8" w:color="auto"/>
            </w:tcBorders>
            <w:gridSpan w:val="20"/>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3.1</w:t>
            </w:r>
          </w:p>
        </w:tc>
        <w:tc>
          <w:tcPr>
            <w:tcW w:w="540" w:type="dxa"/>
            <w:vAlign w:val="bottom"/>
            <w:vMerge w:val="continue"/>
          </w:tcPr>
          <w:p>
            <w:pPr>
              <w:spacing w:after="0"/>
              <w:rPr>
                <w:sz w:val="14"/>
                <w:szCs w:val="14"/>
                <w:color w:val="auto"/>
              </w:rPr>
            </w:pPr>
          </w:p>
        </w:tc>
        <w:tc>
          <w:tcPr>
            <w:tcW w:w="20" w:type="dxa"/>
            <w:vAlign w:val="bottom"/>
            <w:tcBorders>
              <w:bottom w:val="single" w:sz="8" w:color="0000EE"/>
            </w:tcBorders>
            <w:vMerge w:val="continue"/>
          </w:tcPr>
          <w:p>
            <w:pPr>
              <w:spacing w:after="0"/>
              <w:rPr>
                <w:sz w:val="14"/>
                <w:szCs w:val="14"/>
                <w:color w:val="auto"/>
              </w:rPr>
            </w:pPr>
          </w:p>
        </w:tc>
        <w:tc>
          <w:tcPr>
            <w:tcW w:w="7300" w:type="dxa"/>
            <w:vAlign w:val="bottom"/>
            <w:tcBorders>
              <w:bottom w:val="single" w:sz="8" w:color="0000EE"/>
            </w:tcBorders>
            <w:gridSpan w:val="14"/>
          </w:tcPr>
          <w:p>
            <w:pPr>
              <w:spacing w:after="0" w:line="163"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Fourth Restated Certificate of Incorporation of Waste Management, Inc. [incorporated by reference to</w:t>
              </w:r>
            </w:hyperlink>
          </w:p>
        </w:tc>
        <w:tc>
          <w:tcPr>
            <w:tcW w:w="34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53">
              <w:r>
                <w:rPr>
                  <w:rFonts w:ascii="Times New Roman" w:cs="Times New Roman" w:eastAsia="Times New Roman" w:hAnsi="Times New Roman"/>
                  <w:sz w:val="18"/>
                  <w:szCs w:val="18"/>
                  <w:color w:val="0000EE"/>
                  <w:w w:val="98"/>
                </w:rPr>
                <w:t>Exhibit 3.2 to Form 8-K dated May 14, 2024].</w:t>
              </w:r>
            </w:hyperlink>
          </w:p>
        </w:tc>
        <w:tc>
          <w:tcPr>
            <w:tcW w:w="43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8200" w:type="dxa"/>
            <w:vAlign w:val="bottom"/>
            <w:gridSpan w:val="26"/>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4">
              <w:r>
                <w:rPr>
                  <w:rFonts w:ascii="Times New Roman" w:cs="Times New Roman" w:eastAsia="Times New Roman" w:hAnsi="Times New Roman"/>
                  <w:sz w:val="18"/>
                  <w:szCs w:val="18"/>
                  <w:color w:val="0000EE"/>
                </w:rPr>
                <w:t>Amended and Restated By-laws of Waste Management, Inc. [incorporated by reference to Exhibit 3.2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5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Form 8-K dated November 6, 2023].</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8200" w:type="dxa"/>
            <w:vAlign w:val="bottom"/>
            <w:gridSpan w:val="26"/>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5">
              <w:r>
                <w:rPr>
                  <w:rFonts w:ascii="Times New Roman" w:cs="Times New Roman" w:eastAsia="Times New Roman" w:hAnsi="Times New Roman"/>
                  <w:sz w:val="18"/>
                  <w:szCs w:val="18"/>
                  <w:color w:val="0000EE"/>
                </w:rPr>
                <w:t>Specimen Stock Certificate [incorporated by reference to Exhibit 4.1 to Form 10-K for the year ended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December 31, 1998].</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8200" w:type="dxa"/>
            <w:vAlign w:val="bottom"/>
            <w:gridSpan w:val="26"/>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6">
              <w:r>
                <w:rPr>
                  <w:rFonts w:ascii="Times New Roman" w:cs="Times New Roman" w:eastAsia="Times New Roman" w:hAnsi="Times New Roman"/>
                  <w:sz w:val="18"/>
                  <w:szCs w:val="18"/>
                  <w:color w:val="0000EE"/>
                </w:rPr>
                <w:t>Third Restated Certificate of Incorporation of Waste Management Holdings, Inc.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reference to Exhibit 4.2 to Form 10-K for the year ended December 31, 2014].</w:t>
              </w:r>
            </w:hyperlink>
          </w:p>
        </w:tc>
        <w:tc>
          <w:tcPr>
            <w:tcW w:w="1400" w:type="dxa"/>
            <w:vAlign w:val="bottom"/>
            <w:tcBorders>
              <w:top w:val="single" w:sz="8" w:color="0000EE"/>
            </w:tcBorders>
            <w:gridSpan w:val="2"/>
          </w:tcPr>
          <w:p>
            <w:pPr>
              <w:spacing w:after="0"/>
              <w:rPr>
                <w:sz w:val="17"/>
                <w:szCs w:val="17"/>
                <w:color w:val="auto"/>
              </w:rPr>
            </w:pPr>
          </w:p>
        </w:tc>
        <w:tc>
          <w:tcPr>
            <w:tcW w:w="6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8200" w:type="dxa"/>
            <w:vAlign w:val="bottom"/>
            <w:gridSpan w:val="26"/>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color w:val="0000EE"/>
                </w:rPr>
                <w:t>Amended and Restated By-laws of Waste Management Holdings, Inc. [incorporated by reference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1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Exhibit 4.3 to Form 10-Q for the quarter ended June 30, 2014].</w:t>
              </w:r>
            </w:hyperlink>
          </w:p>
        </w:tc>
        <w:tc>
          <w:tcPr>
            <w:tcW w:w="5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8200" w:type="dxa"/>
            <w:vAlign w:val="bottom"/>
            <w:gridSpan w:val="26"/>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8">
              <w:r>
                <w:rPr>
                  <w:rFonts w:ascii="Times New Roman" w:cs="Times New Roman" w:eastAsia="Times New Roman" w:hAnsi="Times New Roman"/>
                  <w:sz w:val="18"/>
                  <w:szCs w:val="18"/>
                  <w:color w:val="0000EE"/>
                </w:rPr>
                <w:t>Indenture for Subordinated Debt Securities dated February 1, 1997, among the Registrant and The Bank</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58">
              <w:r>
                <w:rPr>
                  <w:rFonts w:ascii="Times New Roman" w:cs="Times New Roman" w:eastAsia="Times New Roman" w:hAnsi="Times New Roman"/>
                  <w:sz w:val="18"/>
                  <w:szCs w:val="18"/>
                  <w:color w:val="0000EE"/>
                  <w:w w:val="98"/>
                </w:rPr>
                <w:t>of New York Mellon Trust Company, N.A. (the current successor to Texas Commerce Bank National</w:t>
              </w:r>
            </w:hyperlink>
          </w:p>
        </w:tc>
        <w:tc>
          <w:tcPr>
            <w:tcW w:w="220" w:type="dxa"/>
            <w:vAlign w:val="bottom"/>
            <w:tcBorders>
              <w:top w:val="single" w:sz="8" w:color="0000EE"/>
            </w:tcBorders>
            <w:gridSpan w:val="6"/>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Association), as trustee [incorporated by reference to Exhibit 4.1 to Form 8-K dated February 7, 1997].</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8200" w:type="dxa"/>
            <w:vAlign w:val="bottom"/>
            <w:gridSpan w:val="26"/>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9">
              <w:r>
                <w:rPr>
                  <w:rFonts w:ascii="Times New Roman" w:cs="Times New Roman" w:eastAsia="Times New Roman" w:hAnsi="Times New Roman"/>
                  <w:sz w:val="18"/>
                  <w:szCs w:val="18"/>
                  <w:color w:val="0000EE"/>
                </w:rPr>
                <w:t>Indenture for Senior Debt Securities dated September 10, 1997, among the Registrant and The Bank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New York Mellon Trust Company, N.A. (the current successor to Texas Commerce Bank National</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Association), as trustee [incorporated by reference to Exhibit 4.1 to Form 8-K dated September 10, 1997].</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8200" w:type="dxa"/>
            <w:vAlign w:val="bottom"/>
            <w:gridSpan w:val="26"/>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Description of Waste Management, Inc.’s Common Stock.</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8200" w:type="dxa"/>
            <w:vAlign w:val="bottom"/>
            <w:gridSpan w:val="26"/>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Schedule of Officers’ Certificates delivered pursuant to Section 301 of the Indenture dated September 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540" w:type="dxa"/>
            <w:vAlign w:val="bottom"/>
            <w:gridSpan w:val="5"/>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1997 establishing the terms and form of Waste Management, Inc.’s Senior Notes. Waste Management and</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its subsidiaries are parties to debt instruments that have not been filed with the SEC under which the 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58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amount of securities authorized under any single instrument does not exceed 10% of the total assets of</w:t>
            </w: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4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Waste Management and its subsidiaries on a consolidated basis. Pursuant to paragraph 4(iii)(A) of</w:t>
            </w:r>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540" w:type="dxa"/>
            <w:vAlign w:val="bottom"/>
            <w:gridSpan w:val="5"/>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601(b) of Regulation S-K, Waste Management agrees to furnish a copy of such instruments to the</w:t>
            </w:r>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SEC upon request.</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8200" w:type="dxa"/>
            <w:vAlign w:val="bottom"/>
            <w:gridSpan w:val="26"/>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Officers’ Certificate delivered pursuant to Section 301 of the Indenture dated September 10, 1997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establishing the terms and form of the 4.500% Senior Notes due 2028.</w:t>
            </w:r>
          </w:p>
        </w:tc>
        <w:tc>
          <w:tcPr>
            <w:tcW w:w="6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500" w:type="dxa"/>
            <w:vAlign w:val="bottom"/>
            <w:tcBorders>
              <w:right w:val="single" w:sz="8" w:color="0000EE"/>
            </w:tcBorders>
            <w:gridSpan w:val="3"/>
            <w:shd w:val="clear" w:color="auto" w:fill="0000EE"/>
          </w:tcPr>
          <w:p>
            <w:pPr>
              <w:spacing w:after="0" w:line="20" w:lineRule="exact"/>
              <w:rPr>
                <w:sz w:val="1"/>
                <w:szCs w:val="1"/>
                <w:color w:val="auto"/>
              </w:rPr>
            </w:pPr>
          </w:p>
        </w:tc>
        <w:tc>
          <w:tcPr>
            <w:tcW w:w="3540" w:type="dxa"/>
            <w:vAlign w:val="bottom"/>
            <w:gridSpan w:val="5"/>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8200" w:type="dxa"/>
            <w:vAlign w:val="bottom"/>
            <w:gridSpan w:val="26"/>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Officers’ Certificate delivered pursuant to Section 301 of the Indenture dated September 10, 1997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establishing the terms and form of the 4.650% Senior Notes due 2030.</w:t>
            </w:r>
          </w:p>
        </w:tc>
        <w:tc>
          <w:tcPr>
            <w:tcW w:w="6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500" w:type="dxa"/>
            <w:vAlign w:val="bottom"/>
            <w:tcBorders>
              <w:right w:val="single" w:sz="8" w:color="0000EE"/>
            </w:tcBorders>
            <w:gridSpan w:val="3"/>
            <w:shd w:val="clear" w:color="auto" w:fill="0000EE"/>
          </w:tcPr>
          <w:p>
            <w:pPr>
              <w:spacing w:after="0" w:line="20" w:lineRule="exact"/>
              <w:rPr>
                <w:sz w:val="1"/>
                <w:szCs w:val="1"/>
                <w:color w:val="auto"/>
              </w:rPr>
            </w:pPr>
          </w:p>
        </w:tc>
        <w:tc>
          <w:tcPr>
            <w:tcW w:w="3540" w:type="dxa"/>
            <w:vAlign w:val="bottom"/>
            <w:gridSpan w:val="5"/>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8200" w:type="dxa"/>
            <w:vAlign w:val="bottom"/>
            <w:gridSpan w:val="26"/>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Officers’ Certificate delivered pursuant to Section 301 of the Indenture dated September 10, 1997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establishing the terms and form of the 4.800% Senior Notes due 2032.</w:t>
            </w:r>
          </w:p>
        </w:tc>
        <w:tc>
          <w:tcPr>
            <w:tcW w:w="6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500" w:type="dxa"/>
            <w:vAlign w:val="bottom"/>
            <w:tcBorders>
              <w:right w:val="single" w:sz="8" w:color="0000EE"/>
            </w:tcBorders>
            <w:gridSpan w:val="3"/>
            <w:shd w:val="clear" w:color="auto" w:fill="0000EE"/>
          </w:tcPr>
          <w:p>
            <w:pPr>
              <w:spacing w:after="0" w:line="20" w:lineRule="exact"/>
              <w:rPr>
                <w:sz w:val="1"/>
                <w:szCs w:val="1"/>
                <w:color w:val="auto"/>
              </w:rPr>
            </w:pPr>
          </w:p>
        </w:tc>
        <w:tc>
          <w:tcPr>
            <w:tcW w:w="3540" w:type="dxa"/>
            <w:vAlign w:val="bottom"/>
            <w:gridSpan w:val="5"/>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8200" w:type="dxa"/>
            <w:vAlign w:val="bottom"/>
            <w:gridSpan w:val="26"/>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Officers’ Certificate delivered pursuant to Section 301 of the Indenture dated September 10, 1997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establishing the terms and form of the 4.950% Senior Notes due 2035.</w:t>
            </w:r>
          </w:p>
        </w:tc>
        <w:tc>
          <w:tcPr>
            <w:tcW w:w="6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500" w:type="dxa"/>
            <w:vAlign w:val="bottom"/>
            <w:tcBorders>
              <w:right w:val="single" w:sz="8" w:color="0000EE"/>
            </w:tcBorders>
            <w:gridSpan w:val="3"/>
            <w:shd w:val="clear" w:color="auto" w:fill="0000EE"/>
          </w:tcPr>
          <w:p>
            <w:pPr>
              <w:spacing w:after="0" w:line="20" w:lineRule="exact"/>
              <w:rPr>
                <w:sz w:val="1"/>
                <w:szCs w:val="1"/>
                <w:color w:val="auto"/>
              </w:rPr>
            </w:pPr>
          </w:p>
        </w:tc>
        <w:tc>
          <w:tcPr>
            <w:tcW w:w="3540" w:type="dxa"/>
            <w:vAlign w:val="bottom"/>
            <w:gridSpan w:val="5"/>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8200" w:type="dxa"/>
            <w:vAlign w:val="bottom"/>
            <w:gridSpan w:val="26"/>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Officers’ Certificate delivered pursuant to Section 301 of the Indenture dated September 10, 1997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establishing the terms and form of the 5.350% Senior Notes due 2054.</w:t>
            </w:r>
          </w:p>
        </w:tc>
        <w:tc>
          <w:tcPr>
            <w:tcW w:w="6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500" w:type="dxa"/>
            <w:vAlign w:val="bottom"/>
            <w:tcBorders>
              <w:right w:val="single" w:sz="8" w:color="0000EE"/>
            </w:tcBorders>
            <w:gridSpan w:val="3"/>
            <w:shd w:val="clear" w:color="auto" w:fill="0000EE"/>
          </w:tcPr>
          <w:p>
            <w:pPr>
              <w:spacing w:after="0" w:line="20" w:lineRule="exact"/>
              <w:rPr>
                <w:sz w:val="1"/>
                <w:szCs w:val="1"/>
                <w:color w:val="auto"/>
              </w:rPr>
            </w:pPr>
          </w:p>
        </w:tc>
        <w:tc>
          <w:tcPr>
            <w:tcW w:w="3540" w:type="dxa"/>
            <w:vAlign w:val="bottom"/>
            <w:gridSpan w:val="5"/>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8200" w:type="dxa"/>
            <w:vAlign w:val="bottom"/>
            <w:gridSpan w:val="26"/>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Guarantee Agreement by Waste Management Holdings, Inc. in favor of The Bank of New York Mellon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Trust Company, N.A., as Trustee for the holders of the 4.500% Senior Notes due 2028.</w:t>
            </w:r>
          </w:p>
        </w:tc>
        <w:tc>
          <w:tcPr>
            <w:tcW w:w="1180" w:type="dxa"/>
            <w:vAlign w:val="bottom"/>
            <w:tcBorders>
              <w:top w:val="single" w:sz="8" w:color="0000EE"/>
            </w:tcBorders>
            <w:gridSpan w:val="9"/>
          </w:tcPr>
          <w:p>
            <w:pPr>
              <w:spacing w:after="0"/>
              <w:rPr>
                <w:sz w:val="17"/>
                <w:szCs w:val="17"/>
                <w:color w:val="auto"/>
              </w:rPr>
            </w:pPr>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8200" w:type="dxa"/>
            <w:vAlign w:val="bottom"/>
            <w:gridSpan w:val="26"/>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Guarantee Agreement by Waste Management Holdings, Inc. in favor of The Bank of New York Mellon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Trust Company, N.A., as Trustee for the holders of the 4.650% Senior Notes due 2030.</w:t>
            </w:r>
          </w:p>
        </w:tc>
        <w:tc>
          <w:tcPr>
            <w:tcW w:w="1180" w:type="dxa"/>
            <w:vAlign w:val="bottom"/>
            <w:tcBorders>
              <w:top w:val="single" w:sz="8" w:color="0000EE"/>
            </w:tcBorders>
            <w:gridSpan w:val="9"/>
          </w:tcPr>
          <w:p>
            <w:pPr>
              <w:spacing w:after="0"/>
              <w:rPr>
                <w:sz w:val="17"/>
                <w:szCs w:val="17"/>
                <w:color w:val="auto"/>
              </w:rPr>
            </w:pPr>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8200" w:type="dxa"/>
            <w:vAlign w:val="bottom"/>
            <w:gridSpan w:val="26"/>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Guarantee Agreement by Waste Management Holdings, Inc. in favor of The Bank of New York Mellon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Trust Company, N.A., as Trustee for the holders of the 4.800% Senior Notes due 2032.</w:t>
            </w:r>
          </w:p>
        </w:tc>
        <w:tc>
          <w:tcPr>
            <w:tcW w:w="1180" w:type="dxa"/>
            <w:vAlign w:val="bottom"/>
            <w:tcBorders>
              <w:top w:val="single" w:sz="8" w:color="0000EE"/>
            </w:tcBorders>
            <w:gridSpan w:val="9"/>
          </w:tcPr>
          <w:p>
            <w:pPr>
              <w:spacing w:after="0"/>
              <w:rPr>
                <w:sz w:val="17"/>
                <w:szCs w:val="17"/>
                <w:color w:val="auto"/>
              </w:rPr>
            </w:pPr>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8200" w:type="dxa"/>
            <w:vAlign w:val="bottom"/>
            <w:gridSpan w:val="26"/>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Guarantee Agreement by Waste Management Holdings, Inc. in favor of The Bank of New York Mellon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Trust Company, N.A., as Trustee for the holders of the 4.950% Senior Notes due 2035.</w:t>
            </w:r>
          </w:p>
        </w:tc>
        <w:tc>
          <w:tcPr>
            <w:tcW w:w="1180" w:type="dxa"/>
            <w:vAlign w:val="bottom"/>
            <w:tcBorders>
              <w:top w:val="single" w:sz="8" w:color="0000EE"/>
            </w:tcBorders>
            <w:gridSpan w:val="9"/>
          </w:tcPr>
          <w:p>
            <w:pPr>
              <w:spacing w:after="0"/>
              <w:rPr>
                <w:sz w:val="17"/>
                <w:szCs w:val="17"/>
                <w:color w:val="auto"/>
              </w:rPr>
            </w:pPr>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8200" w:type="dxa"/>
            <w:vAlign w:val="bottom"/>
            <w:gridSpan w:val="26"/>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Guarantee Agreement by Waste Management Holdings, Inc. in favor of The Bank of New York Mellon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Trust Company, N.A., as Trustee for the holders of the 5.350% Senior Notes due 2054.</w:t>
            </w:r>
          </w:p>
        </w:tc>
        <w:tc>
          <w:tcPr>
            <w:tcW w:w="1180" w:type="dxa"/>
            <w:vAlign w:val="bottom"/>
            <w:tcBorders>
              <w:top w:val="single" w:sz="8" w:color="0000EE"/>
            </w:tcBorders>
            <w:gridSpan w:val="9"/>
          </w:tcPr>
          <w:p>
            <w:pPr>
              <w:spacing w:after="0"/>
              <w:rPr>
                <w:sz w:val="17"/>
                <w:szCs w:val="17"/>
                <w:color w:val="auto"/>
              </w:rPr>
            </w:pPr>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8200" w:type="dxa"/>
            <w:vAlign w:val="bottom"/>
            <w:gridSpan w:val="26"/>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color w:val="0000EE"/>
                </w:rPr>
                <w:t>Registration Rights Agreement by and among Waste Management, Inc., Waste Management Holdings,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500" w:type="dxa"/>
            <w:vAlign w:val="bottom"/>
            <w:tcBorders>
              <w:right w:val="single" w:sz="8" w:color="0000EE"/>
            </w:tcBorders>
            <w:gridSpan w:val="3"/>
            <w:shd w:val="clear" w:color="auto" w:fill="0000EE"/>
          </w:tcPr>
          <w:p>
            <w:pPr>
              <w:spacing w:after="0" w:line="20" w:lineRule="exact"/>
              <w:rPr>
                <w:sz w:val="1"/>
                <w:szCs w:val="1"/>
                <w:color w:val="auto"/>
              </w:rPr>
            </w:pPr>
          </w:p>
        </w:tc>
        <w:tc>
          <w:tcPr>
            <w:tcW w:w="5720" w:type="dxa"/>
            <w:vAlign w:val="bottom"/>
            <w:gridSpan w:val="10"/>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5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Inc., Barclays Capital Inc., Deutsche Bank Securities Inc. and Goldman Sachs &amp; Co. LLC in connection</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with the 3.875% Senior Notes due 2029 [incorporated by reference to Exhibit 4.5 to Form 8-K dated</w:t>
              </w:r>
            </w:hyperlink>
          </w:p>
        </w:tc>
        <w:tc>
          <w:tcPr>
            <w:tcW w:w="4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60" w:type="dxa"/>
            <w:vAlign w:val="bottom"/>
            <w:gridSpan w:val="25"/>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November 8, 2024].</w:t>
              </w:r>
            </w:hyperlink>
          </w:p>
        </w:tc>
        <w:tc>
          <w:tcPr>
            <w:tcW w:w="0" w:type="dxa"/>
            <w:vAlign w:val="bottom"/>
          </w:tcPr>
          <w:p>
            <w:pPr>
              <w:spacing w:after="0"/>
              <w:rPr>
                <w:sz w:val="1"/>
                <w:szCs w:val="1"/>
                <w:color w:val="auto"/>
              </w:rPr>
            </w:pPr>
          </w:p>
        </w:tc>
      </w:tr>
      <w:tr>
        <w:trPr>
          <w:trHeight w:val="66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Borders>
              <w:top w:val="single" w:sz="8" w:color="0000EE"/>
            </w:tcBorders>
            <w:gridSpan w:val="3"/>
          </w:tcPr>
          <w:p>
            <w:pPr>
              <w:spacing w:after="0"/>
              <w:rPr>
                <w:sz w:val="24"/>
                <w:szCs w:val="24"/>
                <w:color w:val="auto"/>
              </w:rPr>
            </w:pPr>
          </w:p>
        </w:tc>
        <w:tc>
          <w:tcPr>
            <w:tcW w:w="2680" w:type="dxa"/>
            <w:vAlign w:val="bottom"/>
            <w:gridSpan w:val="3"/>
          </w:tcPr>
          <w:p>
            <w:pPr>
              <w:jc w:val="right"/>
              <w:ind w:right="768"/>
              <w:spacing w:after="0"/>
              <w:rPr>
                <w:sz w:val="20"/>
                <w:szCs w:val="20"/>
                <w:color w:val="auto"/>
              </w:rPr>
            </w:pPr>
            <w:r>
              <w:rPr>
                <w:rFonts w:ascii="Times New Roman" w:cs="Times New Roman" w:eastAsia="Times New Roman" w:hAnsi="Times New Roman"/>
                <w:sz w:val="18"/>
                <w:szCs w:val="18"/>
                <w:color w:val="auto"/>
              </w:rPr>
              <w:t>148</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960" w:right="579" w:hanging="1227"/>
        <w:spacing w:after="0" w:line="257"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4.19</w:t>
      </w:r>
      <w:r>
        <w:rPr>
          <w:sz w:val="20"/>
          <w:szCs w:val="20"/>
          <w:color w:val="auto"/>
        </w:rPr>
        <w:tab/>
      </w:r>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u w:val="single" w:color="auto"/>
            <w:color w:val="0000EE"/>
          </w:rPr>
          <w:t>Officers’ Certificate delivered pursuant to Section 301 of the Indenture dated September 10, 1997</w:t>
        </w:r>
      </w:hyperlink>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u w:val="single" w:color="auto"/>
            <w:color w:val="0000EE"/>
          </w:rPr>
          <w:t>establishing the terms and form of the 3.875% Senior Notes due 2029 [incorporated by reference to</w:t>
        </w:r>
      </w:hyperlink>
      <w:r>
        <w:rPr>
          <w:rFonts w:ascii="Times New Roman" w:cs="Times New Roman" w:eastAsia="Times New Roman" w:hAnsi="Times New Roman"/>
          <w:sz w:val="18"/>
          <w:szCs w:val="18"/>
          <w:u w:val="single" w:color="auto"/>
          <w:color w:val="0000EE"/>
        </w:rPr>
        <w:t xml:space="preserve"> </w:t>
      </w:r>
      <w:hyperlink r:id="rId161">
        <w:r>
          <w:rPr>
            <w:rFonts w:ascii="Times New Roman" w:cs="Times New Roman" w:eastAsia="Times New Roman" w:hAnsi="Times New Roman"/>
            <w:sz w:val="18"/>
            <w:szCs w:val="18"/>
            <w:u w:val="single" w:color="auto"/>
            <w:color w:val="0000EE"/>
          </w:rPr>
          <w:t>Exhibit 4.2 to Form 8-K dated November 8, 2024].</w:t>
        </w:r>
      </w:hyperlink>
    </w:p>
    <w:p>
      <w:pPr>
        <w:spacing w:after="0" w:line="1" w:lineRule="exact"/>
        <w:rPr>
          <w:rFonts w:ascii="Times New Roman" w:cs="Times New Roman" w:eastAsia="Times New Roman" w:hAnsi="Times New Roman"/>
          <w:sz w:val="18"/>
          <w:szCs w:val="18"/>
          <w:color w:val="auto"/>
        </w:rPr>
      </w:pPr>
    </w:p>
    <w:p>
      <w:pPr>
        <w:jc w:val="both"/>
        <w:ind w:left="960" w:right="27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4.20</w:t>
      </w:r>
      <w:r>
        <w:rPr>
          <w:sz w:val="20"/>
          <w:szCs w:val="20"/>
          <w:color w:val="auto"/>
        </w:rPr>
        <w:tab/>
      </w:r>
      <w:r>
        <w:rPr>
          <w:rFonts w:ascii="Times New Roman" w:cs="Times New Roman" w:eastAsia="Times New Roman" w:hAnsi="Times New Roman"/>
          <w:sz w:val="18"/>
          <w:szCs w:val="18"/>
          <w:color w:val="auto"/>
        </w:rPr>
        <w:t xml:space="preserve">— </w:t>
      </w:r>
      <w:hyperlink r:id="rId162">
        <w:r>
          <w:rPr>
            <w:rFonts w:ascii="Times New Roman" w:cs="Times New Roman" w:eastAsia="Times New Roman" w:hAnsi="Times New Roman"/>
            <w:sz w:val="18"/>
            <w:szCs w:val="18"/>
            <w:u w:val="single" w:color="auto"/>
            <w:color w:val="0000EE"/>
          </w:rPr>
          <w:t>Guarantee Agreement by Waste Management Holdings, Inc. in favor of The Bank of New York Mellon</w:t>
        </w:r>
      </w:hyperlink>
      <w:r>
        <w:rPr>
          <w:rFonts w:ascii="Times New Roman" w:cs="Times New Roman" w:eastAsia="Times New Roman" w:hAnsi="Times New Roman"/>
          <w:sz w:val="18"/>
          <w:szCs w:val="18"/>
          <w:color w:val="auto"/>
        </w:rPr>
        <w:t xml:space="preserve"> </w:t>
      </w:r>
      <w:hyperlink r:id="rId162">
        <w:r>
          <w:rPr>
            <w:rFonts w:ascii="Times New Roman" w:cs="Times New Roman" w:eastAsia="Times New Roman" w:hAnsi="Times New Roman"/>
            <w:sz w:val="18"/>
            <w:szCs w:val="18"/>
            <w:u w:val="single" w:color="auto"/>
            <w:color w:val="0000EE"/>
          </w:rPr>
          <w:t>Trust Company, N.A., as Trustee for the holders of the 3.875% Senior Notes due 2029 [incorporated by</w:t>
        </w:r>
      </w:hyperlink>
      <w:r>
        <w:rPr>
          <w:rFonts w:ascii="Times New Roman" w:cs="Times New Roman" w:eastAsia="Times New Roman" w:hAnsi="Times New Roman"/>
          <w:sz w:val="18"/>
          <w:szCs w:val="18"/>
          <w:u w:val="single" w:color="auto"/>
          <w:color w:val="0000EE"/>
        </w:rPr>
        <w:t xml:space="preserve"> </w:t>
      </w:r>
      <w:hyperlink r:id="rId162">
        <w:r>
          <w:rPr>
            <w:rFonts w:ascii="Times New Roman" w:cs="Times New Roman" w:eastAsia="Times New Roman" w:hAnsi="Times New Roman"/>
            <w:sz w:val="18"/>
            <w:szCs w:val="18"/>
            <w:u w:val="single" w:color="auto"/>
            <w:color w:val="0000EE"/>
          </w:rPr>
          <w:t>reference to Exhibit 4.4 to Form 8-K dated November 8, 2024].</w:t>
        </w:r>
      </w:hyperlink>
    </w:p>
    <w:p>
      <w:pPr>
        <w:spacing w:after="0" w:line="1" w:lineRule="exact"/>
        <w:rPr>
          <w:rFonts w:ascii="Times New Roman" w:cs="Times New Roman" w:eastAsia="Times New Roman" w:hAnsi="Times New Roman"/>
          <w:sz w:val="18"/>
          <w:szCs w:val="18"/>
          <w:color w:val="auto"/>
        </w:rPr>
      </w:pPr>
    </w:p>
    <w:p>
      <w:pPr>
        <w:ind w:left="60"/>
        <w:spacing w:after="0"/>
        <w:tabs>
          <w:tab w:leader="none" w:pos="940" w:val="left"/>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63">
        <w:r>
          <w:rPr>
            <w:rFonts w:ascii="Times New Roman" w:cs="Times New Roman" w:eastAsia="Times New Roman" w:hAnsi="Times New Roman"/>
            <w:sz w:val="18"/>
            <w:szCs w:val="18"/>
            <w:u w:val="single" w:color="auto"/>
            <w:color w:val="0000EE"/>
          </w:rPr>
          <w:t>2023 Stock Incentive Plan [incorporated by reference to Exhibit 10.1 to Form 8-K dated May 9, 2023].</w:t>
        </w:r>
      </w:hyperlink>
    </w:p>
    <w:p>
      <w:pPr>
        <w:spacing w:after="0" w:line="9" w:lineRule="exact"/>
        <w:rPr>
          <w:rFonts w:ascii="Times New Roman" w:cs="Times New Roman" w:eastAsia="Times New Roman" w:hAnsi="Times New Roman"/>
          <w:sz w:val="18"/>
          <w:szCs w:val="18"/>
          <w:color w:val="auto"/>
        </w:rPr>
      </w:pPr>
    </w:p>
    <w:p>
      <w:pPr>
        <w:ind w:left="60"/>
        <w:spacing w:after="0"/>
        <w:tabs>
          <w:tab w:leader="none" w:pos="940" w:val="left"/>
          <w:tab w:leader="none" w:pos="12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64">
        <w:r>
          <w:rPr>
            <w:rFonts w:ascii="Times New Roman" w:cs="Times New Roman" w:eastAsia="Times New Roman" w:hAnsi="Times New Roman"/>
            <w:sz w:val="17"/>
            <w:szCs w:val="17"/>
            <w:u w:val="single" w:color="auto"/>
            <w:color w:val="0000EE"/>
          </w:rPr>
          <w:t>2014 Stock Incentive Plan [incorporated by reference to Exhibit 10.1 to Form 8-K dated May 13, 2014].</w:t>
        </w:r>
      </w:hyperlink>
    </w:p>
    <w:p>
      <w:pPr>
        <w:spacing w:after="0" w:line="9" w:lineRule="exact"/>
        <w:rPr>
          <w:rFonts w:ascii="Times New Roman" w:cs="Times New Roman" w:eastAsia="Times New Roman" w:hAnsi="Times New Roman"/>
          <w:sz w:val="18"/>
          <w:szCs w:val="18"/>
          <w:color w:val="auto"/>
        </w:rPr>
      </w:pPr>
    </w:p>
    <w:p>
      <w:pPr>
        <w:ind w:left="960" w:right="33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 xml:space="preserve">— </w:t>
      </w:r>
      <w:hyperlink r:id="rId165">
        <w:r>
          <w:rPr>
            <w:rFonts w:ascii="Times New Roman" w:cs="Times New Roman" w:eastAsia="Times New Roman" w:hAnsi="Times New Roman"/>
            <w:sz w:val="18"/>
            <w:szCs w:val="18"/>
            <w:u w:val="single" w:color="auto"/>
            <w:color w:val="0000EE"/>
          </w:rPr>
          <w:t>First Amendment to 2014 Stock Incentive Plan [incorporated by reference to Exhibit 10.2 to Form 8-K</w:t>
        </w:r>
      </w:hyperlink>
      <w:r>
        <w:rPr>
          <w:rFonts w:ascii="Times New Roman" w:cs="Times New Roman" w:eastAsia="Times New Roman" w:hAnsi="Times New Roman"/>
          <w:sz w:val="18"/>
          <w:szCs w:val="18"/>
          <w:color w:val="auto"/>
        </w:rPr>
        <w:t xml:space="preserve"> </w:t>
      </w:r>
      <w:hyperlink r:id="rId165">
        <w:r>
          <w:rPr>
            <w:rFonts w:ascii="Times New Roman" w:cs="Times New Roman" w:eastAsia="Times New Roman" w:hAnsi="Times New Roman"/>
            <w:sz w:val="18"/>
            <w:szCs w:val="18"/>
            <w:u w:val="single" w:color="auto"/>
            <w:color w:val="0000EE"/>
          </w:rPr>
          <w:t>dated May 12, 2020].</w:t>
        </w:r>
      </w:hyperlink>
    </w:p>
    <w:p>
      <w:pPr>
        <w:spacing w:after="0" w:line="1" w:lineRule="exact"/>
        <w:rPr>
          <w:sz w:val="20"/>
          <w:szCs w:val="20"/>
          <w:color w:val="auto"/>
        </w:rPr>
      </w:pPr>
    </w:p>
    <w:p>
      <w:pPr>
        <w:ind w:left="960" w:right="17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u w:val="single" w:color="auto"/>
            <w:color w:val="0000EE"/>
          </w:rPr>
          <w:t>Second Amendment to 2014 Stock Incentive Plan [incorporated by reference to Exhibit 10.3 to Form 10-</w:t>
        </w:r>
      </w:hyperlink>
      <w:hyperlink r:id="rId166">
        <w:r>
          <w:rPr>
            <w:rFonts w:ascii="Times New Roman" w:cs="Times New Roman" w:eastAsia="Times New Roman" w:hAnsi="Times New Roman"/>
            <w:sz w:val="18"/>
            <w:szCs w:val="18"/>
            <w:u w:val="single" w:color="auto"/>
            <w:color w:val="0000EE"/>
          </w:rPr>
          <w:t>Q for the quarter ended June 30, 2022].</w:t>
        </w:r>
      </w:hyperlink>
    </w:p>
    <w:p>
      <w:pPr>
        <w:spacing w:after="0" w:line="1" w:lineRule="exact"/>
        <w:rPr>
          <w:sz w:val="20"/>
          <w:szCs w:val="20"/>
          <w:color w:val="auto"/>
        </w:rPr>
      </w:pPr>
    </w:p>
    <w:p>
      <w:pPr>
        <w:ind w:left="960" w:right="73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 xml:space="preserve">— </w:t>
      </w:r>
      <w:hyperlink r:id="rId167">
        <w:r>
          <w:rPr>
            <w:rFonts w:ascii="Times New Roman" w:cs="Times New Roman" w:eastAsia="Times New Roman" w:hAnsi="Times New Roman"/>
            <w:sz w:val="18"/>
            <w:szCs w:val="18"/>
            <w:u w:val="single" w:color="auto"/>
            <w:color w:val="0000EE"/>
          </w:rPr>
          <w:t>2005 Annual Incentive Plan [incorporated by reference to Appendix D to the Proxy Statement on</w:t>
        </w:r>
      </w:hyperlink>
      <w:r>
        <w:rPr>
          <w:rFonts w:ascii="Times New Roman" w:cs="Times New Roman" w:eastAsia="Times New Roman" w:hAnsi="Times New Roman"/>
          <w:sz w:val="18"/>
          <w:szCs w:val="18"/>
          <w:color w:val="auto"/>
        </w:rPr>
        <w:t xml:space="preserve"> </w:t>
      </w:r>
      <w:hyperlink r:id="rId167">
        <w:r>
          <w:rPr>
            <w:rFonts w:ascii="Times New Roman" w:cs="Times New Roman" w:eastAsia="Times New Roman" w:hAnsi="Times New Roman"/>
            <w:sz w:val="18"/>
            <w:szCs w:val="18"/>
            <w:u w:val="single" w:color="auto"/>
            <w:color w:val="0000EE"/>
          </w:rPr>
          <w:t>Schedule 14A filed April 8, 2004].</w:t>
        </w:r>
      </w:hyperlink>
    </w:p>
    <w:p>
      <w:pPr>
        <w:spacing w:after="0" w:line="1" w:lineRule="exact"/>
        <w:rPr>
          <w:sz w:val="20"/>
          <w:szCs w:val="20"/>
          <w:color w:val="auto"/>
        </w:rPr>
      </w:pPr>
    </w:p>
    <w:p>
      <w:pPr>
        <w:ind w:left="60"/>
        <w:spacing w:after="0"/>
        <w:tabs>
          <w:tab w:leader="none" w:pos="940" w:val="left"/>
          <w:tab w:leader="none" w:pos="12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68">
        <w:r>
          <w:rPr>
            <w:rFonts w:ascii="Times New Roman" w:cs="Times New Roman" w:eastAsia="Times New Roman" w:hAnsi="Times New Roman"/>
            <w:sz w:val="17"/>
            <w:szCs w:val="17"/>
            <w:u w:val="single" w:color="auto"/>
            <w:color w:val="0000EE"/>
          </w:rPr>
          <w:t>Waste Management, Inc. Employee Stock Purchase Plan (As Amended and Restated effective May 12,</w:t>
        </w:r>
      </w:hyperlink>
    </w:p>
    <w:p>
      <w:pPr>
        <w:spacing w:after="0" w:line="9" w:lineRule="exact"/>
        <w:rPr>
          <w:sz w:val="20"/>
          <w:szCs w:val="20"/>
          <w:color w:val="auto"/>
        </w:rPr>
      </w:pPr>
    </w:p>
    <w:p>
      <w:pPr>
        <w:ind w:left="1280"/>
        <w:spacing w:after="0"/>
        <w:rPr>
          <w:rFonts w:ascii="Times New Roman" w:cs="Times New Roman" w:eastAsia="Times New Roman" w:hAnsi="Times New Roman"/>
          <w:sz w:val="18"/>
          <w:szCs w:val="18"/>
          <w:u w:val="single" w:color="auto"/>
          <w:color w:val="0000EE"/>
        </w:rPr>
      </w:pPr>
      <w:hyperlink r:id="rId168">
        <w:r>
          <w:rPr>
            <w:rFonts w:ascii="Times New Roman" w:cs="Times New Roman" w:eastAsia="Times New Roman" w:hAnsi="Times New Roman"/>
            <w:sz w:val="18"/>
            <w:szCs w:val="18"/>
            <w:u w:val="single" w:color="auto"/>
            <w:color w:val="0000EE"/>
          </w:rPr>
          <w:t>2020) [incorporated by reference to Exhibit 10.1 to Form 8-K dated May 12, 2020].</w:t>
        </w:r>
      </w:hyperlink>
    </w:p>
    <w:p>
      <w:pPr>
        <w:spacing w:after="0" w:line="9" w:lineRule="exact"/>
        <w:rPr>
          <w:sz w:val="20"/>
          <w:szCs w:val="20"/>
          <w:color w:val="auto"/>
        </w:rPr>
      </w:pPr>
    </w:p>
    <w:p>
      <w:pPr>
        <w:jc w:val="center"/>
        <w:ind w:left="60" w:right="659"/>
        <w:spacing w:after="0" w:line="250"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10.7†      —  </w:t>
      </w:r>
      <w:hyperlink r:id="rId169">
        <w:r>
          <w:rPr>
            <w:rFonts w:ascii="Times New Roman" w:cs="Times New Roman" w:eastAsia="Times New Roman" w:hAnsi="Times New Roman"/>
            <w:sz w:val="18"/>
            <w:szCs w:val="18"/>
            <w:u w:val="single" w:color="auto"/>
            <w:color w:val="0000EE"/>
          </w:rPr>
          <w:t>First Amendment to the Waste Management, Inc. Employee Stock Purchase Plan [incorporated by</w:t>
        </w:r>
      </w:hyperlink>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u w:val="single" w:color="auto"/>
            <w:color w:val="0000EE"/>
          </w:rPr>
          <w:t>reference to Exhibit 10.8 to Form 10-K for the year ended December 31, 2023].</w:t>
        </w:r>
      </w:hyperlink>
    </w:p>
    <w:p>
      <w:pPr>
        <w:spacing w:after="0" w:line="1" w:lineRule="exact"/>
        <w:rPr>
          <w:sz w:val="20"/>
          <w:szCs w:val="20"/>
          <w:color w:val="auto"/>
        </w:rPr>
      </w:pPr>
    </w:p>
    <w:p>
      <w:pPr>
        <w:ind w:left="960" w:right="11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u w:val="single" w:color="auto"/>
            <w:color w:val="0000EE"/>
          </w:rPr>
          <w:t>Waste Management, Inc. 409A Deferral Savings Plan as Amended and Restated effective January 1, 2014</w:t>
        </w:r>
      </w:hyperlink>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u w:val="single" w:color="auto"/>
            <w:color w:val="0000EE"/>
          </w:rPr>
          <w:t>[incorporated by reference to Exhibit 10.2 to Form 10-Q for the quarter ended March 31, 2014].</w:t>
        </w:r>
      </w:hyperlink>
    </w:p>
    <w:p>
      <w:pPr>
        <w:spacing w:after="0" w:line="1" w:lineRule="exact"/>
        <w:rPr>
          <w:sz w:val="20"/>
          <w:szCs w:val="20"/>
          <w:color w:val="auto"/>
        </w:rPr>
      </w:pPr>
    </w:p>
    <w:p>
      <w:pPr>
        <w:ind w:left="960" w:right="9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u w:val="single" w:color="auto"/>
            <w:color w:val="0000EE"/>
          </w:rPr>
          <w:t>$3.5 Billion Seventh Amended and Restated Revolving Credit Agreement dated as of May 8, 2024 by and</w:t>
        </w:r>
      </w:hyperlink>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u w:val="single" w:color="auto"/>
            <w:color w:val="0000EE"/>
          </w:rPr>
          <w:t>among Waste Management, Inc., Waste Management of Canada Corporation, WM Quebec Inc. and Waste</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Management Holdings, Inc., certain banks party thereto, and Bank of America, N.A., as administrative</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agent [incorporated by reference to Exhibit 10.1 to Form 8-K dated May 8, 2024].</w:t>
        </w:r>
      </w:hyperlink>
    </w:p>
    <w:p>
      <w:pPr>
        <w:spacing w:after="0" w:line="2" w:lineRule="exact"/>
        <w:rPr>
          <w:rFonts w:ascii="Times New Roman" w:cs="Times New Roman" w:eastAsia="Times New Roman" w:hAnsi="Times New Roman"/>
          <w:sz w:val="18"/>
          <w:szCs w:val="18"/>
          <w:u w:val="single" w:color="auto"/>
          <w:color w:val="0000EE"/>
        </w:rPr>
      </w:pPr>
    </w:p>
    <w:p>
      <w:pPr>
        <w:ind w:left="60"/>
        <w:spacing w:after="0"/>
        <w:tabs>
          <w:tab w:leader="none" w:pos="940" w:val="left"/>
          <w:tab w:leader="none" w:pos="126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EE"/>
        </w:rPr>
        <w:t>Amendment No. 1 to Seventh Amended and Restated Revolving Credit Agreement dated as of November</w:t>
      </w:r>
    </w:p>
    <w:p>
      <w:pPr>
        <w:spacing w:after="0" w:line="9" w:lineRule="exact"/>
        <w:rPr>
          <w:rFonts w:ascii="Times New Roman" w:cs="Times New Roman" w:eastAsia="Times New Roman" w:hAnsi="Times New Roman"/>
          <w:sz w:val="18"/>
          <w:szCs w:val="18"/>
          <w:u w:val="single" w:color="auto"/>
          <w:color w:val="0000EE"/>
        </w:rPr>
      </w:pPr>
    </w:p>
    <w:p>
      <w:pPr>
        <w:ind w:left="1280"/>
        <w:spacing w:after="0"/>
        <w:rPr>
          <w:sz w:val="20"/>
          <w:szCs w:val="20"/>
          <w:color w:val="auto"/>
        </w:rPr>
      </w:pPr>
      <w:r>
        <w:rPr>
          <w:rFonts w:ascii="Times New Roman" w:cs="Times New Roman" w:eastAsia="Times New Roman" w:hAnsi="Times New Roman"/>
          <w:sz w:val="18"/>
          <w:szCs w:val="18"/>
          <w:u w:val="single" w:color="auto"/>
          <w:color w:val="0000EE"/>
        </w:rPr>
        <w:t>22, 2024.</w:t>
      </w:r>
    </w:p>
    <w:p>
      <w:pPr>
        <w:spacing w:after="0" w:line="9" w:lineRule="exact"/>
        <w:rPr>
          <w:rFonts w:ascii="Times New Roman" w:cs="Times New Roman" w:eastAsia="Times New Roman" w:hAnsi="Times New Roman"/>
          <w:sz w:val="18"/>
          <w:szCs w:val="18"/>
          <w:u w:val="single" w:color="auto"/>
          <w:color w:val="0000EE"/>
        </w:rPr>
      </w:pPr>
    </w:p>
    <w:p>
      <w:pPr>
        <w:ind w:left="960" w:right="99" w:hanging="1227"/>
        <w:spacing w:after="0" w:line="253"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color w:val="auto"/>
        </w:rPr>
        <w:t xml:space="preserve">— </w:t>
      </w:r>
      <w:hyperlink r:id="rId172">
        <w:r>
          <w:rPr>
            <w:rFonts w:ascii="Times New Roman" w:cs="Times New Roman" w:eastAsia="Times New Roman" w:hAnsi="Times New Roman"/>
            <w:sz w:val="18"/>
            <w:szCs w:val="18"/>
            <w:u w:val="single" w:color="auto"/>
            <w:color w:val="0000EE"/>
          </w:rPr>
          <w:t>Commercial Paper Dealer Agreement, substantially in the form as executed with each of Mizuho</w:t>
        </w:r>
      </w:hyperlink>
      <w:r>
        <w:rPr>
          <w:rFonts w:ascii="Times New Roman" w:cs="Times New Roman" w:eastAsia="Times New Roman" w:hAnsi="Times New Roman"/>
          <w:sz w:val="18"/>
          <w:szCs w:val="18"/>
          <w:color w:val="auto"/>
        </w:rPr>
        <w:t xml:space="preserve"> </w:t>
      </w:r>
      <w:hyperlink r:id="rId172">
        <w:r>
          <w:rPr>
            <w:rFonts w:ascii="Times New Roman" w:cs="Times New Roman" w:eastAsia="Times New Roman" w:hAnsi="Times New Roman"/>
            <w:sz w:val="18"/>
            <w:szCs w:val="18"/>
            <w:u w:val="single" w:color="auto"/>
            <w:color w:val="0000EE"/>
          </w:rPr>
          <w:t>Securities USA LLC, BofA Securities, Inc., J.P. Morgan Securities LLC, MUFG Securities Americas Inc.,</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Wells Fargo Securities, LLC, RBC Capital Markets, LLC, Siebert Williams Shank &amp; Co., LLC, and</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Barclays Capital Inc. as Dealer [incorporated by reference to Exhibit 10.11 to Form 10-K for the year</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ended December 31, 2016].</w:t>
        </w:r>
      </w:hyperlink>
    </w:p>
    <w:p>
      <w:pPr>
        <w:spacing w:after="0" w:line="207" w:lineRule="exact"/>
        <w:rPr>
          <w:rFonts w:ascii="Times New Roman" w:cs="Times New Roman" w:eastAsia="Times New Roman" w:hAnsi="Times New Roman"/>
          <w:sz w:val="18"/>
          <w:szCs w:val="18"/>
          <w:u w:val="single" w:color="auto"/>
          <w:color w:val="0000EE"/>
        </w:rPr>
      </w:pPr>
    </w:p>
    <w:p>
      <w:pPr>
        <w:jc w:val="both"/>
        <w:ind w:left="960" w:right="7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 xml:space="preserve">— </w:t>
      </w:r>
      <w:hyperlink r:id="rId173">
        <w:r>
          <w:rPr>
            <w:rFonts w:ascii="Times New Roman" w:cs="Times New Roman" w:eastAsia="Times New Roman" w:hAnsi="Times New Roman"/>
            <w:sz w:val="18"/>
            <w:szCs w:val="18"/>
            <w:u w:val="single" w:color="auto"/>
            <w:color w:val="0000EE"/>
          </w:rPr>
          <w:t>Commercial Paper Issuing and Paying Agent Agreement between Waste Management, Inc. and U.S. Bank</w:t>
        </w:r>
      </w:hyperlink>
      <w:r>
        <w:rPr>
          <w:rFonts w:ascii="Times New Roman" w:cs="Times New Roman" w:eastAsia="Times New Roman" w:hAnsi="Times New Roman"/>
          <w:sz w:val="18"/>
          <w:szCs w:val="18"/>
          <w:color w:val="auto"/>
        </w:rPr>
        <w:t xml:space="preserve"> </w:t>
      </w:r>
      <w:hyperlink r:id="rId173">
        <w:r>
          <w:rPr>
            <w:rFonts w:ascii="Times New Roman" w:cs="Times New Roman" w:eastAsia="Times New Roman" w:hAnsi="Times New Roman"/>
            <w:sz w:val="18"/>
            <w:szCs w:val="18"/>
            <w:u w:val="single" w:color="auto"/>
            <w:color w:val="0000EE"/>
          </w:rPr>
          <w:t>Trust Company, National Association dated October 28, 2022. [incorporated by reference to Exhibit 10.11</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to Form 10-K for the year ended December 31, 2022].</w:t>
        </w:r>
      </w:hyperlink>
    </w:p>
    <w:p>
      <w:pPr>
        <w:spacing w:after="0" w:line="1" w:lineRule="exact"/>
        <w:rPr>
          <w:rFonts w:ascii="Times New Roman" w:cs="Times New Roman" w:eastAsia="Times New Roman" w:hAnsi="Times New Roman"/>
          <w:sz w:val="18"/>
          <w:szCs w:val="18"/>
          <w:color w:val="auto"/>
        </w:rPr>
      </w:pPr>
    </w:p>
    <w:p>
      <w:pPr>
        <w:ind w:left="960" w:right="13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color w:val="auto"/>
        </w:rPr>
        <w:t xml:space="preserve">— </w:t>
      </w:r>
      <w:hyperlink r:id="rId174">
        <w:r>
          <w:rPr>
            <w:rFonts w:ascii="Times New Roman" w:cs="Times New Roman" w:eastAsia="Times New Roman" w:hAnsi="Times New Roman"/>
            <w:sz w:val="18"/>
            <w:szCs w:val="18"/>
            <w:u w:val="single" w:color="auto"/>
            <w:color w:val="0000EE"/>
          </w:rPr>
          <w:t>First Amended and Restated Employment Agreement between USA Waste-Management Resources, LLC</w:t>
        </w:r>
      </w:hyperlink>
      <w:r>
        <w:rPr>
          <w:rFonts w:ascii="Times New Roman" w:cs="Times New Roman" w:eastAsia="Times New Roman" w:hAnsi="Times New Roman"/>
          <w:sz w:val="18"/>
          <w:szCs w:val="18"/>
          <w:color w:val="auto"/>
        </w:rPr>
        <w:t xml:space="preserve"> </w:t>
      </w:r>
      <w:hyperlink r:id="rId174">
        <w:r>
          <w:rPr>
            <w:rFonts w:ascii="Times New Roman" w:cs="Times New Roman" w:eastAsia="Times New Roman" w:hAnsi="Times New Roman"/>
            <w:sz w:val="18"/>
            <w:szCs w:val="18"/>
            <w:u w:val="single" w:color="auto"/>
            <w:color w:val="0000EE"/>
          </w:rPr>
          <w:t>and James C. Fish, Jr. dated December 22, 2017 [incorporated by reference to Exhibit 10.2 to Form 8-K</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dated December 22, 2017].</w:t>
        </w:r>
      </w:hyperlink>
    </w:p>
    <w:p>
      <w:pPr>
        <w:spacing w:after="0" w:line="1" w:lineRule="exact"/>
        <w:rPr>
          <w:rFonts w:ascii="Times New Roman" w:cs="Times New Roman" w:eastAsia="Times New Roman" w:hAnsi="Times New Roman"/>
          <w:sz w:val="18"/>
          <w:szCs w:val="18"/>
          <w:color w:val="auto"/>
        </w:rPr>
      </w:pPr>
    </w:p>
    <w:p>
      <w:pPr>
        <w:ind w:left="960" w:right="139" w:hanging="1227"/>
        <w:spacing w:after="0" w:line="26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color w:val="auto"/>
        </w:rPr>
        <w:t xml:space="preserve">— </w:t>
      </w:r>
      <w:hyperlink r:id="rId175">
        <w:r>
          <w:rPr>
            <w:rFonts w:ascii="Times New Roman" w:cs="Times New Roman" w:eastAsia="Times New Roman" w:hAnsi="Times New Roman"/>
            <w:sz w:val="18"/>
            <w:szCs w:val="18"/>
            <w:u w:val="single" w:color="auto"/>
            <w:color w:val="0000EE"/>
          </w:rPr>
          <w:t>Compensation Relinquishment Agreement between USA Waste-Management Resources, LLC and James</w:t>
        </w:r>
      </w:hyperlink>
      <w:r>
        <w:rPr>
          <w:rFonts w:ascii="Times New Roman" w:cs="Times New Roman" w:eastAsia="Times New Roman" w:hAnsi="Times New Roman"/>
          <w:sz w:val="18"/>
          <w:szCs w:val="18"/>
          <w:color w:val="auto"/>
        </w:rPr>
        <w:t xml:space="preserve"> </w:t>
      </w:r>
      <w:hyperlink r:id="rId175">
        <w:r>
          <w:rPr>
            <w:rFonts w:ascii="Times New Roman" w:cs="Times New Roman" w:eastAsia="Times New Roman" w:hAnsi="Times New Roman"/>
            <w:sz w:val="18"/>
            <w:szCs w:val="18"/>
            <w:u w:val="single" w:color="auto"/>
            <w:color w:val="0000EE"/>
          </w:rPr>
          <w:t>C. Fish, Jr. [incorporated by reference to Exhibit 10.14 to Form 10-K for the year ended December 31,</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2023].</w:t>
        </w:r>
      </w:hyperlink>
    </w:p>
    <w:p>
      <w:pPr>
        <w:spacing w:after="0" w:line="200" w:lineRule="exact"/>
        <w:rPr>
          <w:rFonts w:ascii="Times New Roman" w:cs="Times New Roman" w:eastAsia="Times New Roman" w:hAnsi="Times New Roman"/>
          <w:sz w:val="18"/>
          <w:szCs w:val="18"/>
          <w:color w:val="auto"/>
        </w:rPr>
      </w:pPr>
    </w:p>
    <w:p>
      <w:pPr>
        <w:ind w:left="960" w:right="23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8"/>
          <w:szCs w:val="18"/>
          <w:color w:val="auto"/>
        </w:rPr>
        <w:t xml:space="preserve">— </w:t>
      </w:r>
      <w:hyperlink r:id="rId176">
        <w:r>
          <w:rPr>
            <w:rFonts w:ascii="Times New Roman" w:cs="Times New Roman" w:eastAsia="Times New Roman" w:hAnsi="Times New Roman"/>
            <w:sz w:val="18"/>
            <w:szCs w:val="18"/>
            <w:u w:val="single" w:color="auto"/>
            <w:color w:val="0000EE"/>
          </w:rPr>
          <w:t>First Amendment to Compensation Relinquishment Agreement between USA Waste-Management</w:t>
        </w:r>
      </w:hyperlink>
      <w:r>
        <w:rPr>
          <w:rFonts w:ascii="Times New Roman" w:cs="Times New Roman" w:eastAsia="Times New Roman" w:hAnsi="Times New Roman"/>
          <w:sz w:val="18"/>
          <w:szCs w:val="18"/>
          <w:color w:val="auto"/>
        </w:rPr>
        <w:t xml:space="preserve"> </w:t>
      </w:r>
      <w:hyperlink r:id="rId176">
        <w:r>
          <w:rPr>
            <w:rFonts w:ascii="Times New Roman" w:cs="Times New Roman" w:eastAsia="Times New Roman" w:hAnsi="Times New Roman"/>
            <w:sz w:val="18"/>
            <w:szCs w:val="18"/>
            <w:u w:val="single" w:color="auto"/>
            <w:color w:val="0000EE"/>
          </w:rPr>
          <w:t>Resources, LLC and James C. Fish, Jr. [incorporated by reference to Exhibit 10.15 to Form 10-K for the</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year ended December 31, 2023].</w:t>
        </w:r>
      </w:hyperlink>
    </w:p>
    <w:p>
      <w:pPr>
        <w:spacing w:after="0" w:line="1" w:lineRule="exact"/>
        <w:rPr>
          <w:rFonts w:ascii="Times New Roman" w:cs="Times New Roman" w:eastAsia="Times New Roman" w:hAnsi="Times New Roman"/>
          <w:sz w:val="18"/>
          <w:szCs w:val="18"/>
          <w:color w:val="auto"/>
        </w:rPr>
      </w:pPr>
    </w:p>
    <w:p>
      <w:pPr>
        <w:ind w:left="960" w:right="13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u w:val="single" w:color="auto"/>
            <w:color w:val="0000EE"/>
          </w:rPr>
          <w:t>Employment Agreement between USA Waste-Management Resources, LLC and Devina A. Rankin dated</w:t>
        </w:r>
      </w:hyperlink>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u w:val="single" w:color="auto"/>
            <w:color w:val="0000EE"/>
          </w:rPr>
          <w:t>December 22, 2017 [incorporated by reference to Exhibit 10.3 to Form 8-K dated December 22, 2017].</w:t>
        </w:r>
      </w:hyperlink>
    </w:p>
    <w:p>
      <w:pPr>
        <w:spacing w:after="0" w:line="1" w:lineRule="exact"/>
        <w:rPr>
          <w:sz w:val="20"/>
          <w:szCs w:val="20"/>
          <w:color w:val="auto"/>
        </w:rPr>
      </w:pPr>
    </w:p>
    <w:p>
      <w:pPr>
        <w:jc w:val="right"/>
        <w:ind w:left="60" w:right="119"/>
        <w:spacing w:after="0" w:line="250"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10.17†     —  </w:t>
      </w:r>
      <w:hyperlink r:id="rId178">
        <w:r>
          <w:rPr>
            <w:rFonts w:ascii="Times New Roman" w:cs="Times New Roman" w:eastAsia="Times New Roman" w:hAnsi="Times New Roman"/>
            <w:sz w:val="18"/>
            <w:szCs w:val="18"/>
            <w:u w:val="single" w:color="auto"/>
            <w:color w:val="0000EE"/>
          </w:rPr>
          <w:t>First Amended and Restated Employment Agreement between USA Waste-Management Resources, LLC</w:t>
        </w:r>
      </w:hyperlink>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u w:val="single" w:color="auto"/>
            <w:color w:val="0000EE"/>
          </w:rPr>
          <w:t>and John J. Morris, Jr. [incorporated by reference to Exhibit 10.4 to Form 8-K dated December 22, 2017].</w:t>
        </w:r>
      </w:hyperlink>
    </w:p>
    <w:p>
      <w:pPr>
        <w:spacing w:after="0" w:line="1" w:lineRule="exact"/>
        <w:rPr>
          <w:sz w:val="20"/>
          <w:szCs w:val="20"/>
          <w:color w:val="auto"/>
        </w:rPr>
      </w:pPr>
    </w:p>
    <w:p>
      <w:pPr>
        <w:jc w:val="both"/>
        <w:ind w:left="960" w:right="33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8"/>
          <w:szCs w:val="18"/>
          <w:color w:val="auto"/>
        </w:rPr>
        <w:t xml:space="preserve">— </w:t>
      </w:r>
      <w:hyperlink r:id="rId179">
        <w:r>
          <w:rPr>
            <w:rFonts w:ascii="Times New Roman" w:cs="Times New Roman" w:eastAsia="Times New Roman" w:hAnsi="Times New Roman"/>
            <w:sz w:val="18"/>
            <w:szCs w:val="18"/>
            <w:u w:val="single" w:color="auto"/>
            <w:color w:val="0000EE"/>
          </w:rPr>
          <w:t>Employment Agreement between USA Waste-Management Resources, LLC and Charles C. Boettcher</w:t>
        </w:r>
      </w:hyperlink>
      <w:r>
        <w:rPr>
          <w:rFonts w:ascii="Times New Roman" w:cs="Times New Roman" w:eastAsia="Times New Roman" w:hAnsi="Times New Roman"/>
          <w:sz w:val="18"/>
          <w:szCs w:val="18"/>
          <w:color w:val="auto"/>
        </w:rPr>
        <w:t xml:space="preserve"> </w:t>
      </w:r>
      <w:hyperlink r:id="rId179">
        <w:r>
          <w:rPr>
            <w:rFonts w:ascii="Times New Roman" w:cs="Times New Roman" w:eastAsia="Times New Roman" w:hAnsi="Times New Roman"/>
            <w:sz w:val="18"/>
            <w:szCs w:val="18"/>
            <w:u w:val="single" w:color="auto"/>
            <w:color w:val="0000EE"/>
          </w:rPr>
          <w:t>dated December 22, 2017 [incorporated by reference to Exhibit 10.23 to Form 10-K for the year ended</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December 31, 2017].</w:t>
        </w:r>
      </w:hyperlink>
    </w:p>
    <w:p>
      <w:pPr>
        <w:spacing w:after="0" w:line="1" w:lineRule="exact"/>
        <w:rPr>
          <w:rFonts w:ascii="Times New Roman" w:cs="Times New Roman" w:eastAsia="Times New Roman" w:hAnsi="Times New Roman"/>
          <w:sz w:val="18"/>
          <w:szCs w:val="18"/>
          <w:color w:val="auto"/>
        </w:rPr>
      </w:pPr>
    </w:p>
    <w:p>
      <w:pPr>
        <w:ind w:left="960" w:right="79" w:hanging="1227"/>
        <w:spacing w:after="0" w:line="26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8"/>
          <w:szCs w:val="18"/>
          <w:color w:val="auto"/>
        </w:rPr>
        <w:t xml:space="preserve">— </w:t>
      </w:r>
      <w:hyperlink r:id="rId180">
        <w:r>
          <w:rPr>
            <w:rFonts w:ascii="Times New Roman" w:cs="Times New Roman" w:eastAsia="Times New Roman" w:hAnsi="Times New Roman"/>
            <w:sz w:val="18"/>
            <w:szCs w:val="18"/>
            <w:u w:val="single" w:color="auto"/>
            <w:color w:val="0000EE"/>
          </w:rPr>
          <w:t>Form of Director and Executive Officer Indemnity Agreement [incorporated by reference to Exhibit 10.43</w:t>
        </w:r>
      </w:hyperlink>
      <w:r>
        <w:rPr>
          <w:rFonts w:ascii="Times New Roman" w:cs="Times New Roman" w:eastAsia="Times New Roman" w:hAnsi="Times New Roman"/>
          <w:sz w:val="18"/>
          <w:szCs w:val="18"/>
          <w:color w:val="auto"/>
        </w:rPr>
        <w:t xml:space="preserve"> </w:t>
      </w:r>
      <w:hyperlink r:id="rId180">
        <w:r>
          <w:rPr>
            <w:rFonts w:ascii="Times New Roman" w:cs="Times New Roman" w:eastAsia="Times New Roman" w:hAnsi="Times New Roman"/>
            <w:sz w:val="18"/>
            <w:szCs w:val="18"/>
            <w:u w:val="single" w:color="auto"/>
            <w:color w:val="0000EE"/>
          </w:rPr>
          <w:t>to Form 10-K for the year ended December 31, 2012].</w:t>
        </w:r>
      </w:hyperlink>
    </w:p>
    <w:p>
      <w:pPr>
        <w:sectPr>
          <w:pgSz w:w="11900" w:h="16838" w:orient="portrait"/>
          <w:cols w:equalWidth="0" w:num="1">
            <w:col w:w="9019"/>
          </w:cols>
          <w:pgMar w:left="1440" w:top="607"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8040" w:type="dxa"/>
            <w:vAlign w:val="bottom"/>
            <w:gridSpan w:val="25"/>
          </w:tcPr>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2">
              <w:r>
                <w:rPr>
                  <w:rFonts w:ascii="Times New Roman" w:cs="Times New Roman" w:eastAsia="Times New Roman" w:hAnsi="Times New Roman"/>
                  <w:sz w:val="18"/>
                  <w:szCs w:val="18"/>
                  <w:color w:val="0000EE"/>
                </w:rPr>
                <w:t>Waste Management Holdings, Inc. Executive Severance Plan [incorporated by reference to Exhibit 10.1 to</w:t>
              </w:r>
            </w:hyperlink>
          </w:p>
        </w:tc>
      </w:tr>
      <w:tr>
        <w:trPr>
          <w:trHeight w:val="19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Form 8-K dated December 22, 2017].</w:t>
              </w:r>
            </w:hyperlink>
          </w:p>
        </w:tc>
        <w:tc>
          <w:tcPr>
            <w:tcW w:w="4940" w:type="dxa"/>
            <w:vAlign w:val="bottom"/>
            <w:tcBorders>
              <w:top w:val="single" w:sz="8" w:color="0000EE"/>
            </w:tcBorders>
            <w:gridSpan w:val="17"/>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8040" w:type="dxa"/>
            <w:vAlign w:val="bottom"/>
            <w:gridSpan w:val="25"/>
          </w:tcPr>
          <w:p>
            <w:pPr>
              <w:ind w:left="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color w:val="0000EE"/>
                </w:rPr>
                <w:t>Form of 2021 Long Term Incentive Compensation Award Agreement for Senior Leadership Team</w:t>
              </w:r>
            </w:hyperlink>
          </w:p>
        </w:tc>
      </w:tr>
      <w:tr>
        <w:trPr>
          <w:trHeight w:val="19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[incorporated by reference to Exhibit 10.1 to Form 8-K dated February 23, 2021].</w:t>
              </w:r>
            </w:hyperlink>
          </w:p>
        </w:tc>
        <w:tc>
          <w:tcPr>
            <w:tcW w:w="600" w:type="dxa"/>
            <w:vAlign w:val="bottom"/>
            <w:gridSpan w:val="7"/>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8040" w:type="dxa"/>
            <w:vAlign w:val="bottom"/>
            <w:gridSpan w:val="25"/>
          </w:tcPr>
          <w:p>
            <w:pPr>
              <w:ind w:left="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4">
              <w:r>
                <w:rPr>
                  <w:rFonts w:ascii="Times New Roman" w:cs="Times New Roman" w:eastAsia="Times New Roman" w:hAnsi="Times New Roman"/>
                  <w:sz w:val="18"/>
                  <w:szCs w:val="18"/>
                  <w:color w:val="0000EE"/>
                </w:rPr>
                <w:t>Form of 2021 Long Term Incentive Compensation RSU Award Agreement [incorporated by reference to</w:t>
              </w:r>
            </w:hyperlink>
          </w:p>
        </w:tc>
      </w:tr>
      <w:tr>
        <w:trPr>
          <w:trHeight w:val="19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Exhibit 10.19 to Form 10-K for the year ended December 31, 2021].</w:t>
              </w:r>
            </w:hyperlink>
          </w:p>
        </w:tc>
        <w:tc>
          <w:tcPr>
            <w:tcW w:w="2600" w:type="dxa"/>
            <w:vAlign w:val="bottom"/>
            <w:tcBorders>
              <w:top w:val="single" w:sz="8" w:color="0000EE"/>
            </w:tcBorders>
            <w:gridSpan w:val="10"/>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8040" w:type="dxa"/>
            <w:vAlign w:val="bottom"/>
            <w:gridSpan w:val="25"/>
          </w:tcPr>
          <w:p>
            <w:pPr>
              <w:ind w:left="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color w:val="0000EE"/>
                </w:rPr>
                <w:t>Form of 2022 Long Term Incentive Compensation Award Agreement for Senior Leadership Team</w:t>
              </w:r>
            </w:hyperlink>
          </w:p>
        </w:tc>
      </w:tr>
      <w:tr>
        <w:trPr>
          <w:trHeight w:val="19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[incorporated by reference to Exhibit 10.1 to Form 8-K dated March 1, 2022].</w:t>
              </w:r>
            </w:hyperlink>
          </w:p>
        </w:tc>
        <w:tc>
          <w:tcPr>
            <w:tcW w:w="1440" w:type="dxa"/>
            <w:vAlign w:val="bottom"/>
            <w:tcBorders>
              <w:top w:val="single" w:sz="8" w:color="0000EE"/>
            </w:tcBorders>
            <w:gridSpan w:val="4"/>
          </w:tcPr>
          <w:p>
            <w:pPr>
              <w:spacing w:after="0"/>
              <w:rPr>
                <w:sz w:val="17"/>
                <w:szCs w:val="17"/>
                <w:color w:val="auto"/>
              </w:rPr>
            </w:pPr>
          </w:p>
        </w:tc>
        <w:tc>
          <w:tcPr>
            <w:tcW w:w="600" w:type="dxa"/>
            <w:vAlign w:val="bottom"/>
            <w:gridSpan w:val="7"/>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8040" w:type="dxa"/>
            <w:vAlign w:val="bottom"/>
            <w:gridSpan w:val="25"/>
          </w:tcPr>
          <w:p>
            <w:pPr>
              <w:ind w:left="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6">
              <w:r>
                <w:rPr>
                  <w:rFonts w:ascii="Times New Roman" w:cs="Times New Roman" w:eastAsia="Times New Roman" w:hAnsi="Times New Roman"/>
                  <w:sz w:val="18"/>
                  <w:szCs w:val="18"/>
                  <w:color w:val="0000EE"/>
                </w:rPr>
                <w:t>Form of 2022 Long Term Incentive Compensation RSU Award Agreement [incorporated by reference to</w:t>
              </w:r>
            </w:hyperlink>
          </w:p>
        </w:tc>
      </w:tr>
      <w:tr>
        <w:trPr>
          <w:trHeight w:val="19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Exhibit 10.2 to Form 8-K dated March 1, 2022].</w:t>
              </w:r>
            </w:hyperlink>
          </w:p>
        </w:tc>
        <w:tc>
          <w:tcPr>
            <w:tcW w:w="4060" w:type="dxa"/>
            <w:vAlign w:val="bottom"/>
            <w:tcBorders>
              <w:top w:val="single" w:sz="8" w:color="0000EE"/>
            </w:tcBorders>
            <w:gridSpan w:val="13"/>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8040" w:type="dxa"/>
            <w:vAlign w:val="bottom"/>
            <w:gridSpan w:val="25"/>
          </w:tcPr>
          <w:p>
            <w:pPr>
              <w:ind w:left="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7">
              <w:r>
                <w:rPr>
                  <w:rFonts w:ascii="Times New Roman" w:cs="Times New Roman" w:eastAsia="Times New Roman" w:hAnsi="Times New Roman"/>
                  <w:sz w:val="18"/>
                  <w:szCs w:val="18"/>
                  <w:color w:val="0000EE"/>
                </w:rPr>
                <w:t>Form of 2023 Long Term Incentive Compensation Award Agreement for Senior Leadership Team</w:t>
              </w:r>
            </w:hyperlink>
          </w:p>
        </w:tc>
      </w:tr>
      <w:tr>
        <w:trPr>
          <w:trHeight w:val="19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[incorporated by reference to Exhibit 10.1 to Form 8-K dated March 7, 2023].</w:t>
              </w:r>
            </w:hyperlink>
          </w:p>
        </w:tc>
        <w:tc>
          <w:tcPr>
            <w:tcW w:w="1440" w:type="dxa"/>
            <w:vAlign w:val="bottom"/>
            <w:tcBorders>
              <w:top w:val="single" w:sz="8" w:color="0000EE"/>
            </w:tcBorders>
            <w:gridSpan w:val="4"/>
          </w:tcPr>
          <w:p>
            <w:pPr>
              <w:spacing w:after="0"/>
              <w:rPr>
                <w:sz w:val="17"/>
                <w:szCs w:val="17"/>
                <w:color w:val="auto"/>
              </w:rPr>
            </w:pPr>
          </w:p>
        </w:tc>
        <w:tc>
          <w:tcPr>
            <w:tcW w:w="600" w:type="dxa"/>
            <w:vAlign w:val="bottom"/>
            <w:gridSpan w:val="7"/>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8040" w:type="dxa"/>
            <w:vAlign w:val="bottom"/>
            <w:gridSpan w:val="25"/>
          </w:tcPr>
          <w:p>
            <w:pPr>
              <w:ind w:left="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8">
              <w:r>
                <w:rPr>
                  <w:rFonts w:ascii="Times New Roman" w:cs="Times New Roman" w:eastAsia="Times New Roman" w:hAnsi="Times New Roman"/>
                  <w:sz w:val="18"/>
                  <w:szCs w:val="18"/>
                  <w:color w:val="0000EE"/>
                </w:rPr>
                <w:t>Form of 2024 Long Term Incentive Compensation Award Agreement for Senior Leadership Team</w:t>
              </w:r>
            </w:hyperlink>
          </w:p>
        </w:tc>
      </w:tr>
      <w:tr>
        <w:trPr>
          <w:trHeight w:val="19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[incorporated by reference to Exhibit 10.1 to Form 8-K dated March 1, 2024].</w:t>
              </w:r>
            </w:hyperlink>
          </w:p>
        </w:tc>
        <w:tc>
          <w:tcPr>
            <w:tcW w:w="1440" w:type="dxa"/>
            <w:vAlign w:val="bottom"/>
            <w:tcBorders>
              <w:top w:val="single" w:sz="8" w:color="0000EE"/>
            </w:tcBorders>
            <w:gridSpan w:val="4"/>
          </w:tcPr>
          <w:p>
            <w:pPr>
              <w:spacing w:after="0"/>
              <w:rPr>
                <w:sz w:val="17"/>
                <w:szCs w:val="17"/>
                <w:color w:val="auto"/>
              </w:rPr>
            </w:pPr>
          </w:p>
        </w:tc>
        <w:tc>
          <w:tcPr>
            <w:tcW w:w="600" w:type="dxa"/>
            <w:vAlign w:val="bottom"/>
            <w:gridSpan w:val="7"/>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8040" w:type="dxa"/>
            <w:vAlign w:val="bottom"/>
            <w:gridSpan w:val="25"/>
          </w:tcPr>
          <w:p>
            <w:pPr>
              <w:ind w:left="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9">
              <w:r>
                <w:rPr>
                  <w:rFonts w:ascii="Times New Roman" w:cs="Times New Roman" w:eastAsia="Times New Roman" w:hAnsi="Times New Roman"/>
                  <w:sz w:val="18"/>
                  <w:szCs w:val="18"/>
                  <w:color w:val="0000EE"/>
                </w:rPr>
                <w:t>Form of 2024 Executive Officer Annual Incentive Award Agreement for Senior Leadership Team</w:t>
              </w:r>
            </w:hyperlink>
          </w:p>
        </w:tc>
      </w:tr>
      <w:tr>
        <w:trPr>
          <w:trHeight w:val="19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[incorporated by reference to Exhibit 10.2 to Form 8-K dated March 1, 2024].</w:t>
              </w:r>
            </w:hyperlink>
          </w:p>
        </w:tc>
        <w:tc>
          <w:tcPr>
            <w:tcW w:w="1400" w:type="dxa"/>
            <w:vAlign w:val="bottom"/>
            <w:tcBorders>
              <w:top w:val="single" w:sz="8" w:color="0000EE"/>
            </w:tcBorders>
            <w:gridSpan w:val="3"/>
          </w:tcPr>
          <w:p>
            <w:pPr>
              <w:spacing w:after="0"/>
              <w:rPr>
                <w:sz w:val="17"/>
                <w:szCs w:val="17"/>
                <w:color w:val="auto"/>
              </w:rPr>
            </w:pPr>
          </w:p>
        </w:tc>
        <w:tc>
          <w:tcPr>
            <w:tcW w:w="640" w:type="dxa"/>
            <w:vAlign w:val="bottom"/>
            <w:gridSpan w:val="8"/>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8040" w:type="dxa"/>
            <w:vAlign w:val="bottom"/>
            <w:gridSpan w:val="25"/>
          </w:tcPr>
          <w:p>
            <w:pPr>
              <w:ind w:left="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0">
              <w:r>
                <w:rPr>
                  <w:rFonts w:ascii="Times New Roman" w:cs="Times New Roman" w:eastAsia="Times New Roman" w:hAnsi="Times New Roman"/>
                  <w:sz w:val="18"/>
                  <w:szCs w:val="18"/>
                  <w:color w:val="0000EE"/>
                </w:rPr>
                <w:t>Form of 2024 Long Term Incentive Compensation Award Agreement for Leadership Tier (Chief</w:t>
              </w:r>
            </w:hyperlink>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60" w:type="dxa"/>
            <w:vAlign w:val="bottom"/>
            <w:gridSpan w:val="24"/>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Accounting Officer) [incorporated by reference to Exhibit 10.3 to Form 10-Q for the quarter ended March</w:t>
              </w:r>
            </w:hyperlink>
          </w:p>
        </w:tc>
      </w:tr>
      <w:tr>
        <w:trPr>
          <w:trHeight w:val="19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90">
              <w:r>
                <w:rPr>
                  <w:rFonts w:ascii="Times New Roman" w:cs="Times New Roman" w:eastAsia="Times New Roman" w:hAnsi="Times New Roman"/>
                  <w:sz w:val="18"/>
                  <w:szCs w:val="18"/>
                  <w:color w:val="0000EE"/>
                  <w:w w:val="97"/>
                </w:rPr>
                <w:t>31, 2024].</w:t>
              </w:r>
            </w:hyperlink>
          </w:p>
        </w:tc>
        <w:tc>
          <w:tcPr>
            <w:tcW w:w="5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8040" w:type="dxa"/>
            <w:vAlign w:val="bottom"/>
            <w:gridSpan w:val="25"/>
          </w:tcPr>
          <w:p>
            <w:pPr>
              <w:ind w:left="60"/>
              <w:spacing w:after="0" w:line="196" w:lineRule="exact"/>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191">
              <w:r>
                <w:rPr>
                  <w:rFonts w:ascii="Times New Roman" w:cs="Times New Roman" w:eastAsia="Times New Roman" w:hAnsi="Times New Roman"/>
                  <w:sz w:val="18"/>
                  <w:szCs w:val="18"/>
                  <w:color w:val="0000EE"/>
                  <w:w w:val="99"/>
                </w:rPr>
                <w:t>Form of 2024 Long Term Incentive Compensation Award Agreement RSU Award (U.S.)(Three-Year Step</w:t>
              </w:r>
            </w:hyperlink>
          </w:p>
        </w:tc>
      </w:tr>
      <w:tr>
        <w:trPr>
          <w:trHeight w:val="19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4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Vest) [incorporated by reference to Exhibit 10.2 to Form 10-Q for the quarter ended September 30, 2024].</w:t>
              </w:r>
            </w:hyperlink>
          </w:p>
        </w:tc>
        <w:tc>
          <w:tcPr>
            <w:tcW w:w="20" w:type="dxa"/>
            <w:vAlign w:val="bottom"/>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3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2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Policy</w:t>
            </w:r>
            <w:r>
              <w:rPr>
                <w:rFonts w:ascii="Times New Roman" w:cs="Times New Roman" w:eastAsia="Times New Roman" w:hAnsi="Times New Roman"/>
                <w:sz w:val="18"/>
                <w:szCs w:val="18"/>
                <w:color w:val="000000"/>
              </w:rPr>
              <w:t>.</w:t>
            </w:r>
          </w:p>
        </w:tc>
        <w:tc>
          <w:tcPr>
            <w:tcW w:w="40" w:type="dxa"/>
            <w:vAlign w:val="bottom"/>
            <w:gridSpan w:val="2"/>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8040" w:type="dxa"/>
            <w:vAlign w:val="bottom"/>
            <w:gridSpan w:val="25"/>
          </w:tcPr>
          <w:p>
            <w:pPr>
              <w:ind w:left="6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Subsidiaries of the Registrant.</w:t>
            </w: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22.1*</w:t>
            </w:r>
          </w:p>
        </w:tc>
        <w:tc>
          <w:tcPr>
            <w:tcW w:w="3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Guarantor Subsidiary.</w:t>
            </w:r>
          </w:p>
        </w:tc>
        <w:tc>
          <w:tcPr>
            <w:tcW w:w="5480" w:type="dxa"/>
            <w:vAlign w:val="bottom"/>
            <w:gridSpan w:val="19"/>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8040" w:type="dxa"/>
            <w:vAlign w:val="bottom"/>
            <w:gridSpan w:val="25"/>
          </w:tcPr>
          <w:p>
            <w:pPr>
              <w:ind w:left="6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Consent of Independent Registered Public Accounting Firm.</w:t>
            </w: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040" w:type="dxa"/>
            <w:vAlign w:val="bottom"/>
            <w:gridSpan w:val="25"/>
          </w:tcPr>
          <w:p>
            <w:pPr>
              <w:ind w:left="6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Rules 13a-14(a) and 15d-14(a) under the Securities Exchange Act of 1934 of</w:t>
            </w:r>
          </w:p>
        </w:tc>
      </w:tr>
      <w:tr>
        <w:trPr>
          <w:trHeight w:val="19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James C. Fish, Jr., President and Chief Executive Officer.</w:t>
            </w:r>
          </w:p>
        </w:tc>
        <w:tc>
          <w:tcPr>
            <w:tcW w:w="3220" w:type="dxa"/>
            <w:vAlign w:val="bottom"/>
            <w:tcBorders>
              <w:top w:val="single" w:sz="8" w:color="0000EE"/>
            </w:tcBorders>
            <w:gridSpan w:val="10"/>
          </w:tcPr>
          <w:p>
            <w:pPr>
              <w:spacing w:after="0"/>
              <w:rPr>
                <w:sz w:val="17"/>
                <w:szCs w:val="17"/>
                <w:color w:val="auto"/>
              </w:rPr>
            </w:pPr>
          </w:p>
        </w:tc>
        <w:tc>
          <w:tcPr>
            <w:tcW w:w="300" w:type="dxa"/>
            <w:vAlign w:val="bottom"/>
            <w:gridSpan w:val="5"/>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8040" w:type="dxa"/>
            <w:vAlign w:val="bottom"/>
            <w:gridSpan w:val="25"/>
          </w:tcPr>
          <w:p>
            <w:pPr>
              <w:ind w:left="6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Rules 13a-14(a) and 15d-14(a) under the Securities Exchange Act of 1934 of</w:t>
            </w:r>
          </w:p>
        </w:tc>
      </w:tr>
      <w:tr>
        <w:trPr>
          <w:trHeight w:val="19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3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Devina A. Rankin, Executive Vice President and Chief Financial Officer.</w:t>
            </w:r>
          </w:p>
        </w:tc>
        <w:tc>
          <w:tcPr>
            <w:tcW w:w="300" w:type="dxa"/>
            <w:vAlign w:val="bottom"/>
            <w:gridSpan w:val="5"/>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900" w:type="dxa"/>
            <w:vAlign w:val="bottom"/>
            <w:gridSpan w:val="6"/>
            <w:shd w:val="clear" w:color="auto" w:fill="0000EE"/>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8040" w:type="dxa"/>
            <w:vAlign w:val="bottom"/>
            <w:gridSpan w:val="25"/>
          </w:tcPr>
          <w:p>
            <w:pPr>
              <w:ind w:left="6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18 U.S.C. §1350 of James C. Fish, Jr., President and Chief Executive Officer.</w:t>
            </w: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860" w:type="dxa"/>
            <w:vAlign w:val="bottom"/>
            <w:gridSpan w:val="1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8040" w:type="dxa"/>
            <w:vAlign w:val="bottom"/>
            <w:gridSpan w:val="25"/>
          </w:tcPr>
          <w:p>
            <w:pPr>
              <w:ind w:left="6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18 U.S.C. §1350 of Devina A. Rankin, Executive Vice President and Chief</w:t>
            </w:r>
          </w:p>
        </w:tc>
      </w:tr>
      <w:tr>
        <w:trPr>
          <w:trHeight w:val="19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Officer.</w:t>
            </w:r>
          </w:p>
        </w:tc>
        <w:tc>
          <w:tcPr>
            <w:tcW w:w="5940" w:type="dxa"/>
            <w:vAlign w:val="bottom"/>
            <w:tcBorders>
              <w:top w:val="single" w:sz="8" w:color="0000EE"/>
            </w:tcBorders>
            <w:gridSpan w:val="16"/>
          </w:tcPr>
          <w:p>
            <w:pPr>
              <w:spacing w:after="0"/>
              <w:rPr>
                <w:sz w:val="17"/>
                <w:szCs w:val="17"/>
                <w:color w:val="auto"/>
              </w:rPr>
            </w:pPr>
          </w:p>
        </w:tc>
        <w:tc>
          <w:tcPr>
            <w:tcW w:w="440" w:type="dxa"/>
            <w:vAlign w:val="bottom"/>
            <w:gridSpan w:val="6"/>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3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840" w:type="dxa"/>
            <w:vAlign w:val="bottom"/>
            <w:gridSpan w:val="20"/>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8040" w:type="dxa"/>
            <w:vAlign w:val="bottom"/>
            <w:gridSpan w:val="25"/>
          </w:tcPr>
          <w:p>
            <w:pPr>
              <w:ind w:left="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2">
              <w:r>
                <w:rPr>
                  <w:rFonts w:ascii="Times New Roman" w:cs="Times New Roman" w:eastAsia="Times New Roman" w:hAnsi="Times New Roman"/>
                  <w:sz w:val="18"/>
                  <w:szCs w:val="18"/>
                  <w:color w:val="0000EE"/>
                </w:rPr>
                <w:t>Waste Management, Inc. Clawback Policy [incorporated by refence to Exhibit 97 to Form 10-K for the</w:t>
              </w:r>
            </w:hyperlink>
          </w:p>
        </w:tc>
      </w:tr>
      <w:tr>
        <w:trPr>
          <w:trHeight w:val="19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year ended December 31, 2023].</w:t>
              </w:r>
            </w:hyperlink>
          </w:p>
        </w:tc>
        <w:tc>
          <w:tcPr>
            <w:tcW w:w="5040" w:type="dxa"/>
            <w:vAlign w:val="bottom"/>
            <w:tcBorders>
              <w:top w:val="single" w:sz="8" w:color="0000EE"/>
            </w:tcBorders>
            <w:gridSpan w:val="14"/>
          </w:tcPr>
          <w:p>
            <w:pPr>
              <w:spacing w:after="0"/>
              <w:rPr>
                <w:sz w:val="17"/>
                <w:szCs w:val="17"/>
                <w:color w:val="auto"/>
              </w:rPr>
            </w:pPr>
          </w:p>
        </w:tc>
        <w:tc>
          <w:tcPr>
            <w:tcW w:w="260" w:type="dxa"/>
            <w:vAlign w:val="bottom"/>
            <w:gridSpan w:val="4"/>
          </w:tcPr>
          <w:p>
            <w:pPr>
              <w:spacing w:after="0"/>
              <w:rPr>
                <w:sz w:val="17"/>
                <w:szCs w:val="17"/>
                <w:color w:val="auto"/>
              </w:rPr>
            </w:pPr>
          </w:p>
        </w:tc>
      </w:t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040" w:type="dxa"/>
            <w:vAlign w:val="bottom"/>
            <w:gridSpan w:val="25"/>
          </w:tcPr>
          <w:p>
            <w:pPr>
              <w:ind w:left="60"/>
              <w:spacing w:after="0"/>
              <w:rPr>
                <w:sz w:val="20"/>
                <w:szCs w:val="20"/>
                <w:color w:val="auto"/>
              </w:rPr>
            </w:pPr>
            <w:r>
              <w:rPr>
                <w:rFonts w:ascii="Times New Roman" w:cs="Times New Roman" w:eastAsia="Times New Roman" w:hAnsi="Times New Roman"/>
                <w:sz w:val="18"/>
                <w:szCs w:val="18"/>
                <w:color w:val="auto"/>
              </w:rPr>
              <w:t>—  Inline XBRL Taxonomy Extension Schema.</w:t>
            </w:r>
          </w:p>
        </w:tc>
      </w:tr>
      <w:tr>
        <w:trPr>
          <w:trHeight w:val="216"/>
        </w:trPr>
        <w:tc>
          <w:tcPr>
            <w:tcW w:w="888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101.CAL*  —  Inline XBRL Taxonomy Extension Calculation.</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040" w:type="dxa"/>
            <w:vAlign w:val="bottom"/>
            <w:gridSpan w:val="25"/>
          </w:tcPr>
          <w:p>
            <w:pPr>
              <w:ind w:left="60"/>
              <w:spacing w:after="0"/>
              <w:rPr>
                <w:sz w:val="20"/>
                <w:szCs w:val="20"/>
                <w:color w:val="auto"/>
              </w:rPr>
            </w:pPr>
            <w:r>
              <w:rPr>
                <w:rFonts w:ascii="Times New Roman" w:cs="Times New Roman" w:eastAsia="Times New Roman" w:hAnsi="Times New Roman"/>
                <w:sz w:val="18"/>
                <w:szCs w:val="18"/>
                <w:color w:val="auto"/>
              </w:rPr>
              <w:t>—  Inline XBRL Taxonomy Extension Labels.</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040" w:type="dxa"/>
            <w:vAlign w:val="bottom"/>
            <w:gridSpan w:val="25"/>
          </w:tcPr>
          <w:p>
            <w:pPr>
              <w:ind w:left="60"/>
              <w:spacing w:after="0"/>
              <w:rPr>
                <w:sz w:val="20"/>
                <w:szCs w:val="20"/>
                <w:color w:val="auto"/>
              </w:rPr>
            </w:pPr>
            <w:r>
              <w:rPr>
                <w:rFonts w:ascii="Times New Roman" w:cs="Times New Roman" w:eastAsia="Times New Roman" w:hAnsi="Times New Roman"/>
                <w:sz w:val="18"/>
                <w:szCs w:val="18"/>
                <w:color w:val="auto"/>
              </w:rPr>
              <w:t>—  Inline XBRL Taxonomy Extension Presentation.</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040" w:type="dxa"/>
            <w:vAlign w:val="bottom"/>
            <w:gridSpan w:val="25"/>
          </w:tcPr>
          <w:p>
            <w:pPr>
              <w:ind w:left="60"/>
              <w:spacing w:after="0"/>
              <w:rPr>
                <w:sz w:val="20"/>
                <w:szCs w:val="20"/>
                <w:color w:val="auto"/>
              </w:rPr>
            </w:pPr>
            <w:r>
              <w:rPr>
                <w:rFonts w:ascii="Times New Roman" w:cs="Times New Roman" w:eastAsia="Times New Roman" w:hAnsi="Times New Roman"/>
                <w:sz w:val="18"/>
                <w:szCs w:val="18"/>
                <w:color w:val="auto"/>
              </w:rPr>
              <w:t>—  Inline XBRL Taxonomy Extension Definition.</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60" w:hanging="310"/>
        <w:spacing w:after="0"/>
        <w:tabs>
          <w:tab w:leader="none" w:pos="3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ind w:left="360" w:hanging="310"/>
        <w:spacing w:after="0"/>
        <w:tabs>
          <w:tab w:leader="none" w:pos="3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 or arrangement.</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C. FISH, JR.</w:t>
            </w:r>
          </w:p>
        </w:tc>
      </w:tr>
      <w:tr>
        <w:trPr>
          <w:trHeight w:val="189"/>
        </w:trPr>
        <w:tc>
          <w:tcPr>
            <w:tcW w:w="320" w:type="dxa"/>
            <w:vAlign w:val="bottom"/>
          </w:tcPr>
          <w:p>
            <w:pPr>
              <w:spacing w:after="0"/>
              <w:rPr>
                <w:sz w:val="16"/>
                <w:szCs w:val="16"/>
                <w:color w:val="auto"/>
              </w:rPr>
            </w:pPr>
          </w:p>
        </w:tc>
        <w:tc>
          <w:tcPr>
            <w:tcW w:w="4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2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Chief Executive Officer and Director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22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center"/>
              <w:ind w:right="771"/>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80" w:type="dxa"/>
            <w:vAlign w:val="bottom"/>
          </w:tcPr>
          <w:p>
            <w:pPr>
              <w:spacing w:after="0"/>
              <w:rPr>
                <w:sz w:val="15"/>
                <w:szCs w:val="15"/>
                <w:color w:val="auto"/>
              </w:rPr>
            </w:pP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6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6"/>
        </w:trPr>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w:t>
            </w:r>
          </w:p>
        </w:tc>
        <w:tc>
          <w:tcPr>
            <w:tcW w:w="2220" w:type="dxa"/>
            <w:vAlign w:val="bottom"/>
            <w:tcBorders>
              <w:bottom w:val="single" w:sz="8" w:color="auto"/>
            </w:tcBorders>
          </w:tcPr>
          <w:p>
            <w:pPr>
              <w:jc w:val="center"/>
              <w:ind w:right="471"/>
              <w:spacing w:after="0"/>
              <w:rPr>
                <w:sz w:val="20"/>
                <w:szCs w:val="20"/>
                <w:color w:val="auto"/>
              </w:rPr>
            </w:pPr>
            <w:r>
              <w:rPr>
                <w:rFonts w:ascii="Times New Roman" w:cs="Times New Roman" w:eastAsia="Times New Roman" w:hAnsi="Times New Roman"/>
                <w:sz w:val="18"/>
                <w:szCs w:val="18"/>
                <w:color w:val="auto"/>
                <w:w w:val="99"/>
              </w:rPr>
              <w:t>JAMES C. FISH, JR.</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228"/>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tcPr>
          <w:p>
            <w:pPr>
              <w:jc w:val="center"/>
              <w:ind w:right="791"/>
              <w:spacing w:after="0"/>
              <w:rPr>
                <w:sz w:val="20"/>
                <w:szCs w:val="20"/>
                <w:color w:val="auto"/>
              </w:rPr>
            </w:pPr>
            <w:r>
              <w:rPr>
                <w:rFonts w:ascii="Times New Roman" w:cs="Times New Roman" w:eastAsia="Times New Roman" w:hAnsi="Times New Roman"/>
                <w:sz w:val="18"/>
                <w:szCs w:val="18"/>
                <w:color w:val="auto"/>
                <w:w w:val="99"/>
              </w:rPr>
              <w:t>James C. Fish, Jr.</w:t>
            </w:r>
          </w:p>
        </w:tc>
        <w:tc>
          <w:tcPr>
            <w:tcW w:w="280" w:type="dxa"/>
            <w:vAlign w:val="bottom"/>
          </w:tcPr>
          <w:p>
            <w:pPr>
              <w:spacing w:after="0"/>
              <w:rPr>
                <w:sz w:val="19"/>
                <w:szCs w:val="19"/>
                <w:color w:val="auto"/>
              </w:rPr>
            </w:pPr>
          </w:p>
        </w:tc>
        <w:tc>
          <w:tcPr>
            <w:tcW w:w="4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00" w:type="dxa"/>
            <w:vAlign w:val="bottom"/>
          </w:tcPr>
          <w:p>
            <w:pPr>
              <w:spacing w:after="0"/>
              <w:rPr>
                <w:sz w:val="19"/>
                <w:szCs w:val="19"/>
                <w:color w:val="auto"/>
              </w:rPr>
            </w:pPr>
          </w:p>
        </w:tc>
      </w:tr>
      <w:tr>
        <w:trPr>
          <w:trHeight w:val="414"/>
        </w:trPr>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t>
            </w:r>
          </w:p>
        </w:tc>
        <w:tc>
          <w:tcPr>
            <w:tcW w:w="2220" w:type="dxa"/>
            <w:vAlign w:val="bottom"/>
            <w:tcBorders>
              <w:bottom w:val="single" w:sz="8" w:color="auto"/>
            </w:tcBorders>
          </w:tcPr>
          <w:p>
            <w:pPr>
              <w:jc w:val="center"/>
              <w:ind w:right="471"/>
              <w:spacing w:after="0"/>
              <w:rPr>
                <w:sz w:val="20"/>
                <w:szCs w:val="20"/>
                <w:color w:val="auto"/>
              </w:rPr>
            </w:pPr>
            <w:r>
              <w:rPr>
                <w:rFonts w:ascii="Times New Roman" w:cs="Times New Roman" w:eastAsia="Times New Roman" w:hAnsi="Times New Roman"/>
                <w:sz w:val="18"/>
                <w:szCs w:val="18"/>
                <w:color w:val="auto"/>
              </w:rPr>
              <w:t>DEVINA A. RANKIN</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Executive Vice President and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191"/>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jc w:val="center"/>
              <w:ind w:right="791"/>
              <w:spacing w:after="0" w:line="191" w:lineRule="exact"/>
              <w:rPr>
                <w:sz w:val="20"/>
                <w:szCs w:val="20"/>
                <w:color w:val="auto"/>
              </w:rPr>
            </w:pPr>
            <w:r>
              <w:rPr>
                <w:rFonts w:ascii="Times New Roman" w:cs="Times New Roman" w:eastAsia="Times New Roman" w:hAnsi="Times New Roman"/>
                <w:sz w:val="18"/>
                <w:szCs w:val="18"/>
                <w:color w:val="auto"/>
                <w:w w:val="99"/>
              </w:rPr>
              <w:t>Devina A. Rankin</w:t>
            </w:r>
          </w:p>
        </w:tc>
        <w:tc>
          <w:tcPr>
            <w:tcW w:w="280" w:type="dxa"/>
            <w:vAlign w:val="bottom"/>
          </w:tcPr>
          <w:p>
            <w:pPr>
              <w:spacing w:after="0"/>
              <w:rPr>
                <w:sz w:val="16"/>
                <w:szCs w:val="16"/>
                <w:color w:val="auto"/>
              </w:rPr>
            </w:pPr>
          </w:p>
        </w:tc>
        <w:tc>
          <w:tcPr>
            <w:tcW w:w="4040" w:type="dxa"/>
            <w:vAlign w:val="bottom"/>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color w:val="auto"/>
                <w:w w:val="99"/>
              </w:rPr>
              <w:t>Chief Financial Officer</w:t>
            </w:r>
          </w:p>
        </w:tc>
        <w:tc>
          <w:tcPr>
            <w:tcW w:w="1500" w:type="dxa"/>
            <w:vAlign w:val="bottom"/>
          </w:tcPr>
          <w:p>
            <w:pPr>
              <w:spacing w:after="0"/>
              <w:rPr>
                <w:sz w:val="16"/>
                <w:szCs w:val="16"/>
                <w:color w:val="auto"/>
              </w:rPr>
            </w:pPr>
          </w:p>
        </w:tc>
      </w:tr>
      <w:tr>
        <w:trPr>
          <w:trHeight w:val="234"/>
        </w:trPr>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500" w:type="dxa"/>
            <w:vAlign w:val="bottom"/>
          </w:tcPr>
          <w:p>
            <w:pPr>
              <w:spacing w:after="0"/>
              <w:rPr>
                <w:sz w:val="20"/>
                <w:szCs w:val="20"/>
                <w:color w:val="auto"/>
              </w:rPr>
            </w:pPr>
          </w:p>
        </w:tc>
      </w:tr>
      <w:tr>
        <w:trPr>
          <w:trHeight w:val="432"/>
        </w:trPr>
        <w:tc>
          <w:tcPr>
            <w:tcW w:w="4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center"/>
              <w:ind w:right="371"/>
              <w:spacing w:after="0"/>
              <w:rPr>
                <w:sz w:val="20"/>
                <w:szCs w:val="20"/>
                <w:color w:val="auto"/>
              </w:rPr>
            </w:pPr>
            <w:r>
              <w:rPr>
                <w:rFonts w:ascii="Times New Roman" w:cs="Times New Roman" w:eastAsia="Times New Roman" w:hAnsi="Times New Roman"/>
                <w:sz w:val="18"/>
                <w:szCs w:val="18"/>
                <w:color w:val="auto"/>
              </w:rPr>
              <w:t>/s/  JOHN CARROLL</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Vice President and Chief Accounting Officer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228"/>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tcPr>
          <w:p>
            <w:pPr>
              <w:jc w:val="center"/>
              <w:ind w:right="791"/>
              <w:spacing w:after="0"/>
              <w:rPr>
                <w:sz w:val="20"/>
                <w:szCs w:val="20"/>
                <w:color w:val="auto"/>
              </w:rPr>
            </w:pPr>
            <w:r>
              <w:rPr>
                <w:rFonts w:ascii="Times New Roman" w:cs="Times New Roman" w:eastAsia="Times New Roman" w:hAnsi="Times New Roman"/>
                <w:sz w:val="18"/>
                <w:szCs w:val="18"/>
                <w:color w:val="auto"/>
              </w:rPr>
              <w:t>John Carroll</w:t>
            </w:r>
          </w:p>
        </w:tc>
        <w:tc>
          <w:tcPr>
            <w:tcW w:w="280" w:type="dxa"/>
            <w:vAlign w:val="bottom"/>
          </w:tcPr>
          <w:p>
            <w:pPr>
              <w:spacing w:after="0"/>
              <w:rPr>
                <w:sz w:val="19"/>
                <w:szCs w:val="19"/>
                <w:color w:val="auto"/>
              </w:rPr>
            </w:pPr>
          </w:p>
        </w:tc>
        <w:tc>
          <w:tcPr>
            <w:tcW w:w="4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500" w:type="dxa"/>
            <w:vAlign w:val="bottom"/>
          </w:tcPr>
          <w:p>
            <w:pPr>
              <w:spacing w:after="0"/>
              <w:rPr>
                <w:sz w:val="19"/>
                <w:szCs w:val="19"/>
                <w:color w:val="auto"/>
              </w:rPr>
            </w:pPr>
          </w:p>
        </w:tc>
      </w:tr>
      <w:tr>
        <w:trPr>
          <w:trHeight w:val="414"/>
        </w:trPr>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2220" w:type="dxa"/>
            <w:vAlign w:val="bottom"/>
            <w:tcBorders>
              <w:bottom w:val="single" w:sz="8" w:color="auto"/>
            </w:tcBorders>
          </w:tcPr>
          <w:p>
            <w:pPr>
              <w:jc w:val="center"/>
              <w:ind w:right="491"/>
              <w:spacing w:after="0"/>
              <w:rPr>
                <w:sz w:val="20"/>
                <w:szCs w:val="20"/>
                <w:color w:val="auto"/>
              </w:rPr>
            </w:pPr>
            <w:r>
              <w:rPr>
                <w:rFonts w:ascii="Times New Roman" w:cs="Times New Roman" w:eastAsia="Times New Roman" w:hAnsi="Times New Roman"/>
                <w:sz w:val="18"/>
                <w:szCs w:val="18"/>
                <w:color w:val="auto"/>
              </w:rPr>
              <w:t>THOMAS L. BENÉ</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228"/>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tcPr>
          <w:p>
            <w:pPr>
              <w:jc w:val="center"/>
              <w:ind w:right="771"/>
              <w:spacing w:after="0"/>
              <w:rPr>
                <w:sz w:val="20"/>
                <w:szCs w:val="20"/>
                <w:color w:val="auto"/>
              </w:rPr>
            </w:pPr>
            <w:r>
              <w:rPr>
                <w:rFonts w:ascii="Times New Roman" w:cs="Times New Roman" w:eastAsia="Times New Roman" w:hAnsi="Times New Roman"/>
                <w:sz w:val="18"/>
                <w:szCs w:val="18"/>
                <w:color w:val="auto"/>
              </w:rPr>
              <w:t>Thomas L. Bené</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4"/>
        </w:trPr>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3"/>
              </w:rPr>
              <w:t>/s/</w:t>
            </w:r>
          </w:p>
        </w:tc>
        <w:tc>
          <w:tcPr>
            <w:tcW w:w="2220" w:type="dxa"/>
            <w:vAlign w:val="bottom"/>
            <w:tcBorders>
              <w:bottom w:val="single" w:sz="8" w:color="auto"/>
            </w:tcBorders>
          </w:tcPr>
          <w:p>
            <w:pPr>
              <w:jc w:val="center"/>
              <w:ind w:right="471"/>
              <w:spacing w:after="0"/>
              <w:rPr>
                <w:sz w:val="20"/>
                <w:szCs w:val="20"/>
                <w:color w:val="auto"/>
              </w:rPr>
            </w:pPr>
            <w:r>
              <w:rPr>
                <w:rFonts w:ascii="Times New Roman" w:cs="Times New Roman" w:eastAsia="Times New Roman" w:hAnsi="Times New Roman"/>
                <w:sz w:val="18"/>
                <w:szCs w:val="18"/>
                <w:color w:val="auto"/>
              </w:rPr>
              <w:t>BRUCE E. CHINN</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228"/>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tcPr>
          <w:p>
            <w:pPr>
              <w:jc w:val="center"/>
              <w:ind w:right="771"/>
              <w:spacing w:after="0"/>
              <w:rPr>
                <w:sz w:val="20"/>
                <w:szCs w:val="20"/>
                <w:color w:val="auto"/>
              </w:rPr>
            </w:pPr>
            <w:r>
              <w:rPr>
                <w:rFonts w:ascii="Times New Roman" w:cs="Times New Roman" w:eastAsia="Times New Roman" w:hAnsi="Times New Roman"/>
                <w:sz w:val="18"/>
                <w:szCs w:val="18"/>
                <w:color w:val="auto"/>
              </w:rPr>
              <w:t>Bruce E. Chinn</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4"/>
        </w:trPr>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w:t>
            </w:r>
          </w:p>
        </w:tc>
        <w:tc>
          <w:tcPr>
            <w:tcW w:w="2220" w:type="dxa"/>
            <w:vAlign w:val="bottom"/>
            <w:tcBorders>
              <w:bottom w:val="single" w:sz="8" w:color="auto"/>
            </w:tcBorders>
          </w:tcPr>
          <w:p>
            <w:pPr>
              <w:jc w:val="center"/>
              <w:ind w:right="491"/>
              <w:spacing w:after="0"/>
              <w:rPr>
                <w:sz w:val="20"/>
                <w:szCs w:val="20"/>
                <w:color w:val="auto"/>
              </w:rPr>
            </w:pPr>
            <w:r>
              <w:rPr>
                <w:rFonts w:ascii="Times New Roman" w:cs="Times New Roman" w:eastAsia="Times New Roman" w:hAnsi="Times New Roman"/>
                <w:sz w:val="18"/>
                <w:szCs w:val="18"/>
                <w:color w:val="auto"/>
              </w:rPr>
              <w:t>ANDRÉS R. GLUSKI</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228"/>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tcPr>
          <w:p>
            <w:pPr>
              <w:jc w:val="center"/>
              <w:ind w:right="791"/>
              <w:spacing w:after="0"/>
              <w:rPr>
                <w:sz w:val="20"/>
                <w:szCs w:val="20"/>
                <w:color w:val="auto"/>
              </w:rPr>
            </w:pPr>
            <w:r>
              <w:rPr>
                <w:rFonts w:ascii="Times New Roman" w:cs="Times New Roman" w:eastAsia="Times New Roman" w:hAnsi="Times New Roman"/>
                <w:sz w:val="18"/>
                <w:szCs w:val="18"/>
                <w:color w:val="auto"/>
              </w:rPr>
              <w:t>Andrés R. Gluski</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4"/>
        </w:trPr>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w:t>
            </w:r>
          </w:p>
        </w:tc>
        <w:tc>
          <w:tcPr>
            <w:tcW w:w="2220" w:type="dxa"/>
            <w:vAlign w:val="bottom"/>
            <w:tcBorders>
              <w:bottom w:val="single" w:sz="8" w:color="auto"/>
            </w:tcBorders>
          </w:tcPr>
          <w:p>
            <w:pPr>
              <w:jc w:val="center"/>
              <w:ind w:right="471"/>
              <w:spacing w:after="0"/>
              <w:rPr>
                <w:sz w:val="20"/>
                <w:szCs w:val="20"/>
                <w:color w:val="auto"/>
              </w:rPr>
            </w:pPr>
            <w:r>
              <w:rPr>
                <w:rFonts w:ascii="Times New Roman" w:cs="Times New Roman" w:eastAsia="Times New Roman" w:hAnsi="Times New Roman"/>
                <w:sz w:val="18"/>
                <w:szCs w:val="18"/>
                <w:color w:val="auto"/>
                <w:w w:val="99"/>
              </w:rPr>
              <w:t>VICTORIA M. HOLT</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228"/>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tcPr>
          <w:p>
            <w:pPr>
              <w:jc w:val="center"/>
              <w:ind w:right="771"/>
              <w:spacing w:after="0"/>
              <w:rPr>
                <w:sz w:val="20"/>
                <w:szCs w:val="20"/>
                <w:color w:val="auto"/>
              </w:rPr>
            </w:pPr>
            <w:r>
              <w:rPr>
                <w:rFonts w:ascii="Times New Roman" w:cs="Times New Roman" w:eastAsia="Times New Roman" w:hAnsi="Times New Roman"/>
                <w:sz w:val="18"/>
                <w:szCs w:val="18"/>
                <w:color w:val="auto"/>
                <w:w w:val="99"/>
              </w:rPr>
              <w:t>Victoria M. Holt</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4"/>
        </w:trPr>
        <w:tc>
          <w:tcPr>
            <w:tcW w:w="4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w:t>
            </w:r>
          </w:p>
        </w:tc>
        <w:tc>
          <w:tcPr>
            <w:tcW w:w="2620" w:type="dxa"/>
            <w:vAlign w:val="bottom"/>
            <w:tcBorders>
              <w:bottom w:val="single" w:sz="8" w:color="auto"/>
            </w:tcBorders>
            <w:gridSpan w:val="2"/>
          </w:tcPr>
          <w:p>
            <w:pPr>
              <w:jc w:val="center"/>
              <w:ind w:right="71"/>
              <w:spacing w:after="0"/>
              <w:rPr>
                <w:sz w:val="20"/>
                <w:szCs w:val="20"/>
                <w:color w:val="auto"/>
              </w:rPr>
            </w:pPr>
            <w:r>
              <w:rPr>
                <w:rFonts w:ascii="Times New Roman" w:cs="Times New Roman" w:eastAsia="Times New Roman" w:hAnsi="Times New Roman"/>
                <w:sz w:val="18"/>
                <w:szCs w:val="18"/>
                <w:color w:val="auto"/>
                <w:w w:val="99"/>
              </w:rPr>
              <w:t>KATHLEEN M. MAZZARELLA</w:t>
            </w:r>
          </w:p>
        </w:tc>
        <w:tc>
          <w:tcPr>
            <w:tcW w:w="280" w:type="dxa"/>
            <w:vAlign w:val="bottom"/>
          </w:tcPr>
          <w:p>
            <w:pPr>
              <w:spacing w:after="0"/>
              <w:rPr>
                <w:sz w:val="24"/>
                <w:szCs w:val="24"/>
                <w:color w:val="auto"/>
              </w:rPr>
            </w:pPr>
          </w:p>
        </w:tc>
        <w:tc>
          <w:tcPr>
            <w:tcW w:w="4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Chair of the Board and 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228"/>
        </w:trPr>
        <w:tc>
          <w:tcPr>
            <w:tcW w:w="460" w:type="dxa"/>
            <w:vAlign w:val="bottom"/>
          </w:tcPr>
          <w:p>
            <w:pPr>
              <w:spacing w:after="0"/>
              <w:rPr>
                <w:sz w:val="19"/>
                <w:szCs w:val="19"/>
                <w:color w:val="auto"/>
              </w:rPr>
            </w:pPr>
          </w:p>
        </w:tc>
        <w:tc>
          <w:tcPr>
            <w:tcW w:w="2620" w:type="dxa"/>
            <w:vAlign w:val="bottom"/>
            <w:gridSpan w:val="2"/>
          </w:tcPr>
          <w:p>
            <w:pPr>
              <w:jc w:val="center"/>
              <w:ind w:right="391"/>
              <w:spacing w:after="0"/>
              <w:rPr>
                <w:sz w:val="20"/>
                <w:szCs w:val="20"/>
                <w:color w:val="auto"/>
              </w:rPr>
            </w:pPr>
            <w:r>
              <w:rPr>
                <w:rFonts w:ascii="Times New Roman" w:cs="Times New Roman" w:eastAsia="Times New Roman" w:hAnsi="Times New Roman"/>
                <w:sz w:val="18"/>
                <w:szCs w:val="18"/>
                <w:color w:val="auto"/>
                <w:w w:val="99"/>
              </w:rPr>
              <w:t>Kathleen M. Mazzarella</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4"/>
        </w:trPr>
        <w:tc>
          <w:tcPr>
            <w:tcW w:w="4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center"/>
              <w:ind w:right="391"/>
              <w:spacing w:after="0"/>
              <w:rPr>
                <w:sz w:val="20"/>
                <w:szCs w:val="20"/>
                <w:color w:val="auto"/>
              </w:rPr>
            </w:pPr>
            <w:r>
              <w:rPr>
                <w:rFonts w:ascii="Times New Roman" w:cs="Times New Roman" w:eastAsia="Times New Roman" w:hAnsi="Times New Roman"/>
                <w:sz w:val="18"/>
                <w:szCs w:val="18"/>
                <w:color w:val="auto"/>
              </w:rPr>
              <w:t>/s/  SEAN E. MENKE</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228"/>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tcPr>
          <w:p>
            <w:pPr>
              <w:jc w:val="center"/>
              <w:ind w:right="791"/>
              <w:spacing w:after="0"/>
              <w:rPr>
                <w:sz w:val="20"/>
                <w:szCs w:val="20"/>
                <w:color w:val="auto"/>
              </w:rPr>
            </w:pPr>
            <w:r>
              <w:rPr>
                <w:rFonts w:ascii="Times New Roman" w:cs="Times New Roman" w:eastAsia="Times New Roman" w:hAnsi="Times New Roman"/>
                <w:sz w:val="18"/>
                <w:szCs w:val="18"/>
                <w:color w:val="auto"/>
              </w:rPr>
              <w:t>Sean E. Menke</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4"/>
        </w:trPr>
        <w:tc>
          <w:tcPr>
            <w:tcW w:w="3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WILLIAM B. PLUMMER</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228"/>
        </w:trPr>
        <w:tc>
          <w:tcPr>
            <w:tcW w:w="460" w:type="dxa"/>
            <w:vAlign w:val="bottom"/>
          </w:tcPr>
          <w:p>
            <w:pPr>
              <w:spacing w:after="0"/>
              <w:rPr>
                <w:sz w:val="19"/>
                <w:szCs w:val="19"/>
                <w:color w:val="auto"/>
              </w:rPr>
            </w:pPr>
          </w:p>
        </w:tc>
        <w:tc>
          <w:tcPr>
            <w:tcW w:w="2620" w:type="dxa"/>
            <w:vAlign w:val="bottom"/>
            <w:gridSpan w:val="2"/>
          </w:tcPr>
          <w:p>
            <w:pPr>
              <w:jc w:val="center"/>
              <w:ind w:right="391"/>
              <w:spacing w:after="0"/>
              <w:rPr>
                <w:sz w:val="20"/>
                <w:szCs w:val="20"/>
                <w:color w:val="auto"/>
              </w:rPr>
            </w:pPr>
            <w:r>
              <w:rPr>
                <w:rFonts w:ascii="Times New Roman" w:cs="Times New Roman" w:eastAsia="Times New Roman" w:hAnsi="Times New Roman"/>
                <w:sz w:val="18"/>
                <w:szCs w:val="18"/>
                <w:color w:val="auto"/>
                <w:w w:val="99"/>
              </w:rPr>
              <w:t>William B. Plummer</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4"/>
        </w:trPr>
        <w:tc>
          <w:tcPr>
            <w:tcW w:w="4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3"/>
              </w:rPr>
              <w:t>/s/</w:t>
            </w:r>
          </w:p>
        </w:tc>
        <w:tc>
          <w:tcPr>
            <w:tcW w:w="2620" w:type="dxa"/>
            <w:vAlign w:val="bottom"/>
            <w:tcBorders>
              <w:bottom w:val="single" w:sz="8" w:color="auto"/>
            </w:tcBorders>
            <w:gridSpan w:val="2"/>
          </w:tcPr>
          <w:p>
            <w:pPr>
              <w:jc w:val="center"/>
              <w:ind w:right="71"/>
              <w:spacing w:after="0"/>
              <w:rPr>
                <w:sz w:val="20"/>
                <w:szCs w:val="20"/>
                <w:color w:val="auto"/>
              </w:rPr>
            </w:pPr>
            <w:r>
              <w:rPr>
                <w:rFonts w:ascii="Times New Roman" w:cs="Times New Roman" w:eastAsia="Times New Roman" w:hAnsi="Times New Roman"/>
                <w:sz w:val="18"/>
                <w:szCs w:val="18"/>
                <w:color w:val="auto"/>
                <w:w w:val="97"/>
              </w:rPr>
              <w:t>MARYROSE T. SYLVESTER</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228"/>
        </w:trPr>
        <w:tc>
          <w:tcPr>
            <w:tcW w:w="460" w:type="dxa"/>
            <w:vAlign w:val="bottom"/>
          </w:tcPr>
          <w:p>
            <w:pPr>
              <w:spacing w:after="0"/>
              <w:rPr>
                <w:sz w:val="19"/>
                <w:szCs w:val="19"/>
                <w:color w:val="auto"/>
              </w:rPr>
            </w:pPr>
          </w:p>
        </w:tc>
        <w:tc>
          <w:tcPr>
            <w:tcW w:w="2620" w:type="dxa"/>
            <w:vAlign w:val="bottom"/>
            <w:gridSpan w:val="2"/>
          </w:tcPr>
          <w:p>
            <w:pPr>
              <w:jc w:val="center"/>
              <w:ind w:right="371"/>
              <w:spacing w:after="0"/>
              <w:rPr>
                <w:sz w:val="20"/>
                <w:szCs w:val="20"/>
                <w:color w:val="auto"/>
              </w:rPr>
            </w:pPr>
            <w:r>
              <w:rPr>
                <w:rFonts w:ascii="Times New Roman" w:cs="Times New Roman" w:eastAsia="Times New Roman" w:hAnsi="Times New Roman"/>
                <w:sz w:val="18"/>
                <w:szCs w:val="18"/>
                <w:color w:val="auto"/>
                <w:w w:val="99"/>
              </w:rPr>
              <w:t>Maryrose T. Sylvester</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1" w:name="page152"/>
    <w:bookmarkEnd w:id="151"/>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WASTE MANAGEMENT, INC.’S COMMON STOCK</w:t>
      </w:r>
    </w:p>
    <w:p>
      <w:pPr>
        <w:spacing w:after="0" w:line="227" w:lineRule="exact"/>
        <w:rPr>
          <w:sz w:val="20"/>
          <w:szCs w:val="20"/>
          <w:color w:val="auto"/>
        </w:rPr>
      </w:pPr>
    </w:p>
    <w:p>
      <w:pPr>
        <w:jc w:val="both"/>
        <w:ind w:left="200" w:right="21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is a description of Waste Management, Inc. (“WM”) common stock, based on WM’s Fourth Restated Certificate of Incorporation (“Certificate of Incorporation”), WM’s Amended and Restated By-laws (“By-laws”) and applicable law, including the General Corporation Law of the State of Delaware (“DGCL”). This description is a summary and is qualified in its entirety by reference to the Certificate of Incorporation and the By-laws, each of which is filed as an exhibit to WM’s Annual Report on Form 10-K as Exhibits 3.1 and 3.2, respectively.</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08"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authorizes 1,500,000,000 shares of common stock, $.01 par value per share, and 10,000,000 shares of preferred stock, $.01 par value per share.</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jc w:val="both"/>
        <w:ind w:left="200" w:right="2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Subject to applicable law, holders of common stock are entitled to receive dividends when,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if declared by WM’s Board of Directors. In certain cases, common stockholders may not receive dividends until WM satisfies its obligations to any preferred stockholders.</w:t>
      </w:r>
    </w:p>
    <w:p>
      <w:pPr>
        <w:spacing w:after="0" w:line="173"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Each holder of common stock is entitled to one vote for each share of common stock held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holder. Common stockholders do not have cumulative voting rights. To be elected, a director must receive a majority of the votes cast with respect to that director at a meeting at which a quorum is present; provided that if the number of nominees exceeds the number of directors to be elected as of the tenth day preceding the date that WM first mails it notice of meeting to its stockholders, the directors shall be elected by the vote of a plurality of the shares represented in person or by proxy at such meeting and entitled to vote on the election of directors. A majority of the votes cast means that the number of shares voted “for” a director must exceed 50% of the votes cast with respect to that director. The By-laws provide that if the number of shares voted “for” any incumbent director nominee does not exceed 50% of the votes cast with respect to that director, he or she will tender his resignation to the Board of Directors contingent on the acceptance of such resignation by the Board of Directors. The Nominating and Governance Committee of WM’s Board of Directors will then make a recommendation to the Board of Directors on whether to accept or reject the resignation, or whether other action should be taken. The Board will act on the resignation and publicly disclose its decision and the rationale behind it within 90 days from the date of the certificate of the election results.</w:t>
      </w:r>
    </w:p>
    <w:p>
      <w:pPr>
        <w:spacing w:after="0" w:line="194" w:lineRule="exact"/>
        <w:rPr>
          <w:sz w:val="20"/>
          <w:szCs w:val="20"/>
          <w:color w:val="auto"/>
        </w:rPr>
      </w:pPr>
    </w:p>
    <w:p>
      <w:pPr>
        <w:jc w:val="both"/>
        <w:ind w:left="200" w:right="21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Fully Paid Status. </w:t>
      </w:r>
      <w:r>
        <w:rPr>
          <w:rFonts w:ascii="Times New Roman" w:cs="Times New Roman" w:eastAsia="Times New Roman" w:hAnsi="Times New Roman"/>
          <w:sz w:val="18"/>
          <w:szCs w:val="18"/>
          <w:color w:val="auto"/>
        </w:rPr>
        <w:t>All outstanding shares of WM’s common stock are validly issued, fully paid and non-assessable.</w:t>
      </w:r>
    </w:p>
    <w:p>
      <w:pPr>
        <w:spacing w:after="0" w:line="185" w:lineRule="exact"/>
        <w:rPr>
          <w:sz w:val="20"/>
          <w:szCs w:val="20"/>
          <w:color w:val="auto"/>
        </w:rPr>
      </w:pPr>
    </w:p>
    <w:p>
      <w:pPr>
        <w:jc w:val="both"/>
        <w:ind w:left="200" w:right="23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or Dissolution. </w:t>
      </w:r>
      <w:r>
        <w:rPr>
          <w:rFonts w:ascii="Times New Roman" w:cs="Times New Roman" w:eastAsia="Times New Roman" w:hAnsi="Times New Roman"/>
          <w:sz w:val="18"/>
          <w:szCs w:val="18"/>
          <w:color w:val="auto"/>
        </w:rPr>
        <w:t>If WM liquidates, dissolves or winds up its business, whether or not voluntarily,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stockholders will share ratably in the assets remaining for distribution to stockholders after WM pays its creditors and any preferred stockholders.</w:t>
      </w:r>
    </w:p>
    <w:p>
      <w:pPr>
        <w:spacing w:after="0" w:line="173" w:lineRule="exact"/>
        <w:rPr>
          <w:sz w:val="20"/>
          <w:szCs w:val="20"/>
          <w:color w:val="auto"/>
        </w:rPr>
      </w:pPr>
    </w:p>
    <w:p>
      <w:pPr>
        <w:ind w:left="860"/>
        <w:spacing w:after="0"/>
        <w:tabs>
          <w:tab w:leader="none" w:pos="1560" w:val="left"/>
        </w:tabs>
        <w:rPr>
          <w:sz w:val="20"/>
          <w:szCs w:val="20"/>
          <w:color w:val="auto"/>
        </w:rPr>
      </w:pPr>
      <w:r>
        <w:rPr>
          <w:rFonts w:ascii="Times New Roman" w:cs="Times New Roman" w:eastAsia="Times New Roman" w:hAnsi="Times New Roman"/>
          <w:sz w:val="18"/>
          <w:szCs w:val="18"/>
          <w:i w:val="1"/>
          <w:iCs w:val="1"/>
          <w:color w:val="auto"/>
        </w:rPr>
        <w:t>Listing.</w:t>
      </w:r>
      <w:r>
        <w:rPr>
          <w:sz w:val="20"/>
          <w:szCs w:val="20"/>
          <w:color w:val="auto"/>
        </w:rPr>
        <w:tab/>
      </w:r>
      <w:r>
        <w:rPr>
          <w:rFonts w:ascii="Times New Roman" w:cs="Times New Roman" w:eastAsia="Times New Roman" w:hAnsi="Times New Roman"/>
          <w:sz w:val="17"/>
          <w:szCs w:val="17"/>
          <w:color w:val="auto"/>
        </w:rPr>
        <w:t>WM’s common stock is listed on the New York Stock Exchange under the trading symbol “WM.”</w:t>
      </w:r>
    </w:p>
    <w:p>
      <w:pPr>
        <w:spacing w:after="0" w:line="252" w:lineRule="exact"/>
        <w:rPr>
          <w:sz w:val="20"/>
          <w:szCs w:val="20"/>
          <w:color w:val="auto"/>
        </w:rPr>
      </w:pPr>
    </w:p>
    <w:p>
      <w:pPr>
        <w:jc w:val="both"/>
        <w:ind w:left="200" w:right="23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WM common stock is Computershare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Jersey City, New Jersey.</w:t>
      </w:r>
    </w:p>
    <w:p>
      <w:pPr>
        <w:spacing w:after="0" w:line="1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color w:val="auto"/>
        </w:rPr>
        <w:t>The Board of Directors is authorized, without obtaining stockholder approval, to issue one or more series of preferred stock. The Board's authority includes determining the number of shares of each series and the rights, powers, preferences and limitations, qualifications and restrictions of each series, including without limitation voting rights, dividend rights, conversion rights, redemption rights and any liquidation preferences. In this regard, the Board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490220</wp:posOffset>
            </wp:positionV>
            <wp:extent cx="545211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374" w:right="1440" w:bottom="1440" w:gutter="0" w:footer="0" w:header="0"/>
        </w:sectPr>
      </w:pPr>
    </w:p>
    <w:bookmarkStart w:id="152" w:name="page153"/>
    <w:bookmarkEnd w:id="152"/>
    <w:p>
      <w:pPr>
        <w:jc w:val="both"/>
        <w:ind w:left="200" w:right="239"/>
        <w:spacing w:after="0" w:line="258" w:lineRule="auto"/>
        <w:rPr>
          <w:sz w:val="20"/>
          <w:szCs w:val="20"/>
          <w:color w:val="auto"/>
        </w:rPr>
      </w:pPr>
      <w:r>
        <w:rPr>
          <w:rFonts w:ascii="Times New Roman" w:cs="Times New Roman" w:eastAsia="Times New Roman" w:hAnsi="Times New Roman"/>
          <w:sz w:val="18"/>
          <w:szCs w:val="18"/>
          <w:color w:val="auto"/>
        </w:rPr>
        <w:t>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WM’s dissolution.</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Authorized but unissued shares of common stock or preferred stock can be issued by the Board of Directors from time to time, without stockholder action, for a variety of purposes including without limitation stock dividends or stock splits, to raise equity capital and to structure future corporate transactions, including acquisitions, as well as for other proper corporate purposes. Stockholders have no preemptive rights.</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16"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18"/>
          <w:szCs w:val="18"/>
          <w:color w:val="auto"/>
        </w:rPr>
        <w:t>The By-laws provide that, unless WM consents to the selection of an alternative forum in writing, the Delaware Court of Chancery will be the sole and exclusive forum for (i) any derivative action or proceeding brought on behalf of WM; (ii) any action asserting a claim of breach of a fiduciary duty owed by any director, officer, stockholder, employee or agent of WM to the company or its stockholders; (iii) any action asserting a claim pursuant to any provision of the DGCL or the Certificate of Incorporation or By-laws or as to which the DGCL confers jurisdiction upon the Court of Chancery of the State of Delaware; or (iv) any action asserting a claim governed by the internal affairs doctrine. The By-laws provide that any person or entity purchasing, otherwise acquiring or retaining any interest in shares of capital stock of WM are deemed to have notice of and to have consented to the exclusive forum By-law provision.</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Advance Notice and Proxy Access</w:t>
      </w:r>
    </w:p>
    <w:p>
      <w:pPr>
        <w:spacing w:after="0" w:line="229"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By-laws establish advance notice procedures with respect to stockholder proposals and the nomination of candidates for election as directors, other than nominations made by or at the direction of the Board of Directors. Further, the By-laws contain a “proxy access” provision that </w:t>
      </w:r>
      <w:r>
        <w:rPr>
          <w:rFonts w:ascii="Times New Roman" w:cs="Times New Roman" w:eastAsia="Times New Roman" w:hAnsi="Times New Roman"/>
          <w:sz w:val="18"/>
          <w:szCs w:val="18"/>
          <w:color w:val="212529"/>
        </w:rPr>
        <w:t>permits a stockholder or group of up to 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stockholders owning 3% or more of the WM’s outstanding common stock continuously for at least three years to nominate and include in WM’s proxy materials director nominees constituting up to the greater of 20% of the Board of Directors or two individuals, provided the stockholder(s) and the nominee(s) satisfy the requirements specified in the By-Laws.</w:t>
      </w: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212529"/>
        </w:rPr>
        <w:t>Stockholder Action by Written Consent</w:t>
      </w:r>
    </w:p>
    <w:p>
      <w:pPr>
        <w:spacing w:after="0" w:line="229"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color w:val="auto"/>
        </w:rPr>
        <w:t>Any action required or permitted to be taken at a meeting of stockholders may be taken by written consent if such consents, setting forth the action so taken, (i) shall be signed by holders of outstanding stock having not less than the minimum number of votes that would be necessary to authorize or take such action at a meeting at which all shares entitled to vote thereon were present and voted and (ii) shall be delivered to WM in accordance with applicable law. The By-laws provide that any stockholder of record seeking to have the stockholders authorize or take corporate action by written consent shall, by written notice to the Secretary of WM, request that the Board of Directors fix a record date.</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Special Stockholder Meetings</w:t>
      </w:r>
    </w:p>
    <w:p>
      <w:pPr>
        <w:spacing w:after="0" w:line="229"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color w:val="auto"/>
        </w:rPr>
        <w:t>The By-laws provide that a special meeting of stockholders may be called by the Secretary at the request of the Chairman of the Board or the Chief Executive Officer or may be called by order of the majority of the Board of Directors. A special meeting of stockholders may also be called by the Secretary upon the written request of record holders having an aggregate “net long position” of at least 25% of the outstanding common stock of WM and having held such net long position continuously for at least one year as of the date of such request, subject to compliance with all other applicable terms and provisions of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1075055</wp:posOffset>
            </wp:positionV>
            <wp:extent cx="545211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4" w:right="1440" w:bottom="1440" w:gutter="0" w:footer="0" w:header="0"/>
        </w:sectPr>
      </w:pPr>
    </w:p>
    <w:bookmarkStart w:id="153" w:name="page154"/>
    <w:bookmarkEnd w:id="153"/>
    <w:p>
      <w:pPr>
        <w:ind w:left="200"/>
        <w:spacing w:after="0"/>
        <w:rPr>
          <w:sz w:val="20"/>
          <w:szCs w:val="20"/>
          <w:color w:val="auto"/>
        </w:rPr>
      </w:pPr>
      <w:r>
        <w:rPr>
          <w:rFonts w:ascii="Times New Roman" w:cs="Times New Roman" w:eastAsia="Times New Roman" w:hAnsi="Times New Roman"/>
          <w:sz w:val="18"/>
          <w:szCs w:val="18"/>
          <w:b w:val="1"/>
          <w:bCs w:val="1"/>
          <w:color w:val="auto"/>
        </w:rPr>
        <w:t>Limitations on a Change of Control</w:t>
      </w:r>
    </w:p>
    <w:p>
      <w:pPr>
        <w:spacing w:after="0" w:line="229"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8"/>
          <w:szCs w:val="18"/>
          <w:color w:val="auto"/>
        </w:rPr>
        <w:t>WM is a Delaware corporation governed by the DGCL. Section 203 of the DGCL, subject to specific exceptions, prohibits a publicly held Delaware corporation from engaging in a “business combination” with an “interested stockholder” for a period of three years after the time the person became an interested stockholder, unless:</w:t>
      </w:r>
    </w:p>
    <w:p>
      <w:pPr>
        <w:spacing w:after="0" w:line="183" w:lineRule="exact"/>
        <w:rPr>
          <w:sz w:val="20"/>
          <w:szCs w:val="20"/>
          <w:color w:val="auto"/>
        </w:rPr>
      </w:pPr>
    </w:p>
    <w:p>
      <w:pPr>
        <w:ind w:left="1180" w:right="219" w:hanging="323"/>
        <w:spacing w:after="0" w:line="282" w:lineRule="auto"/>
        <w:tabs>
          <w:tab w:leader="none" w:pos="126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in which the stockholder became an interested stockholder, is approved by the board of directors prior to the time the interested stockholder attained that status;</w:t>
      </w:r>
    </w:p>
    <w:p>
      <w:pPr>
        <w:spacing w:after="0" w:line="161" w:lineRule="exact"/>
        <w:rPr>
          <w:rFonts w:ascii="Times New Roman" w:cs="Times New Roman" w:eastAsia="Times New Roman" w:hAnsi="Times New Roman"/>
          <w:sz w:val="18"/>
          <w:szCs w:val="18"/>
          <w:color w:val="auto"/>
        </w:rPr>
      </w:pPr>
    </w:p>
    <w:p>
      <w:pPr>
        <w:jc w:val="both"/>
        <w:ind w:left="1180" w:right="219" w:hanging="323"/>
        <w:spacing w:after="0" w:line="254" w:lineRule="auto"/>
        <w:tabs>
          <w:tab w:leader="none" w:pos="153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87" w:lineRule="exact"/>
        <w:rPr>
          <w:rFonts w:ascii="Times New Roman" w:cs="Times New Roman" w:eastAsia="Times New Roman" w:hAnsi="Times New Roman"/>
          <w:sz w:val="18"/>
          <w:szCs w:val="18"/>
          <w:color w:val="auto"/>
        </w:rPr>
      </w:pPr>
    </w:p>
    <w:p>
      <w:pPr>
        <w:jc w:val="both"/>
        <w:ind w:left="1180" w:right="219" w:hanging="323"/>
        <w:spacing w:after="0" w:line="266" w:lineRule="auto"/>
        <w:tabs>
          <w:tab w:leader="none" w:pos="127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a person became an interested stockholder, the business combination is approved by the board of directors and authorized at an annual or special meeting of stockholders by the affirmative vote of at least two-thirds of the outstanding voting stock that is not owned by the interested stockholder.</w:t>
      </w:r>
    </w:p>
    <w:p>
      <w:pPr>
        <w:spacing w:after="0" w:line="176"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87"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The provisions of Section 203, combined with WM’s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WM’s stockholders.</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Liability of Directors and Officers</w:t>
      </w:r>
    </w:p>
    <w:p>
      <w:pPr>
        <w:spacing w:after="0" w:line="216"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color w:val="auto"/>
        </w:rPr>
        <w:t>The Certificate of Incorporation provides that a director or officer of WM shall not be liable to WM or its stockholders for monetary damages for breach of fiduciary duty as a director or officer, except to the extent such exemption from liability or limitation thereof is not permitted under the DGCL as the same exists or may hereafter be amended. Any amendment, modification or repeal of this provision will not adversely affect any right or protection of a director or officer of WM in respect of any act or omission occurring prior to the time of such amendment, modification or repeal.</w:t>
      </w:r>
    </w:p>
    <w:p>
      <w:pPr>
        <w:spacing w:after="0" w:line="187"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18"/>
          <w:szCs w:val="18"/>
          <w:color w:val="auto"/>
        </w:rPr>
        <w:t>The Certificate of Incorporation and By-laws require that WM provide indemnification to the maximum extent permitted from time to time under DGCL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WM or any of its direct or indirect subsidiaries or while such a director or officer is or was serving at the request of the WM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WM is not required to indemnify or advance expenses to any person in connection with any action, suit, proceeding, claim or counterclaim initiated by or on behalf of such person. Such indemnification is not to be exclusive of other indemnification rights arising under the By-laws, agreement, vote of directors or stockholders or otherwise and shall inure to the benefit of the heirs and legal representatives of such person. Additionally, WM has direct contractual obligations to provide indemnification to each of the members of its Board of Directors and each of its executive officers. These agreements provide directors and executive officers with the same indemnification by the Company as described above and assure directors and executive officers that indemnification will continue to be provided despite future changes in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496570</wp:posOffset>
            </wp:positionV>
            <wp:extent cx="545211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0" w:right="1440" w:bottom="1440" w:gutter="0" w:footer="0" w:header="0"/>
        </w:sectPr>
      </w:pPr>
    </w:p>
    <w:bookmarkStart w:id="154" w:name="page155"/>
    <w:bookmarkEnd w:id="15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17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Schedule of Officers’ Certificates</w:t>
      </w:r>
    </w:p>
    <w:p>
      <w:pPr>
        <w:spacing w:after="0" w:line="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delivered pursuant to Section 301 of the Indenture dated September 10, 1997</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by and between Waste Management, Inc. and The Bank of New York Mellon Trust Company, N.A., as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Trustee, establishing the terms and form of Waste Management, Inc.’s Outstanding Senior Notes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center"/>
              <w:ind w:left="196"/>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28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center"/>
              <w:ind w:left="196"/>
              <w:spacing w:after="0"/>
              <w:rPr>
                <w:sz w:val="20"/>
                <w:szCs w:val="20"/>
                <w:color w:val="auto"/>
              </w:rPr>
            </w:pPr>
            <w:r>
              <w:rPr>
                <w:rFonts w:ascii="Times New Roman" w:cs="Times New Roman" w:eastAsia="Times New Roman" w:hAnsi="Times New Roman"/>
                <w:sz w:val="13"/>
                <w:szCs w:val="13"/>
                <w:b w:val="1"/>
                <w:bCs w:val="1"/>
                <w:color w:val="auto"/>
              </w:rPr>
              <w:t>Payment</w:t>
            </w:r>
          </w:p>
        </w:tc>
        <w:tc>
          <w:tcPr>
            <w:tcW w:w="280" w:type="dxa"/>
            <w:vAlign w:val="bottom"/>
          </w:tcPr>
          <w:p>
            <w:pPr>
              <w:spacing w:after="0"/>
              <w:rPr>
                <w:sz w:val="14"/>
                <w:szCs w:val="14"/>
                <w:color w:val="auto"/>
              </w:rPr>
            </w:pPr>
          </w:p>
        </w:tc>
      </w:tr>
      <w:tr>
        <w:trPr>
          <w:trHeight w:val="178"/>
        </w:trPr>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Issued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(per annum)</w:t>
            </w:r>
          </w:p>
        </w:tc>
        <w:tc>
          <w:tcPr>
            <w:tcW w:w="240" w:type="dxa"/>
            <w:vAlign w:val="bottom"/>
          </w:tcPr>
          <w:p>
            <w:pPr>
              <w:spacing w:after="0"/>
              <w:rPr>
                <w:sz w:val="15"/>
                <w:szCs w:val="15"/>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Issue Date</w:t>
            </w:r>
          </w:p>
        </w:tc>
        <w:tc>
          <w:tcPr>
            <w:tcW w:w="240" w:type="dxa"/>
            <w:vAlign w:val="bottom"/>
          </w:tcPr>
          <w:p>
            <w:pPr>
              <w:spacing w:after="0"/>
              <w:rPr>
                <w:sz w:val="15"/>
                <w:szCs w:val="15"/>
                <w:color w:val="auto"/>
              </w:rPr>
            </w:pPr>
          </w:p>
        </w:tc>
        <w:tc>
          <w:tcPr>
            <w:tcW w:w="1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60" w:type="dxa"/>
            <w:vAlign w:val="bottom"/>
          </w:tcPr>
          <w:p>
            <w:pPr>
              <w:spacing w:after="0"/>
              <w:rPr>
                <w:sz w:val="15"/>
                <w:szCs w:val="15"/>
                <w:color w:val="auto"/>
              </w:rPr>
            </w:pPr>
          </w:p>
        </w:tc>
        <w:tc>
          <w:tcPr>
            <w:tcW w:w="10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CUSIP</w:t>
            </w:r>
          </w:p>
        </w:tc>
        <w:tc>
          <w:tcPr>
            <w:tcW w:w="160" w:type="dxa"/>
            <w:vAlign w:val="bottom"/>
          </w:tcPr>
          <w:p>
            <w:pPr>
              <w:spacing w:after="0"/>
              <w:rPr>
                <w:sz w:val="15"/>
                <w:szCs w:val="15"/>
                <w:color w:val="auto"/>
              </w:rPr>
            </w:pPr>
          </w:p>
        </w:tc>
        <w:tc>
          <w:tcPr>
            <w:tcW w:w="1620" w:type="dxa"/>
            <w:vAlign w:val="bottom"/>
            <w:tcBorders>
              <w:bottom w:val="single" w:sz="8" w:color="auto"/>
            </w:tcBorders>
          </w:tcPr>
          <w:p>
            <w:pPr>
              <w:jc w:val="center"/>
              <w:ind w:left="176"/>
              <w:spacing w:after="0"/>
              <w:rPr>
                <w:sz w:val="20"/>
                <w:szCs w:val="20"/>
                <w:color w:val="auto"/>
              </w:rPr>
            </w:pPr>
            <w:r>
              <w:rPr>
                <w:rFonts w:ascii="Times New Roman" w:cs="Times New Roman" w:eastAsia="Times New Roman" w:hAnsi="Times New Roman"/>
                <w:sz w:val="13"/>
                <w:szCs w:val="13"/>
                <w:b w:val="1"/>
                <w:bCs w:val="1"/>
                <w:color w:val="auto"/>
              </w:rPr>
              <w:t>Dates</w:t>
            </w:r>
          </w:p>
        </w:tc>
        <w:tc>
          <w:tcPr>
            <w:tcW w:w="280" w:type="dxa"/>
            <w:vAlign w:val="bottom"/>
            <w:tcBorders>
              <w:bottom w:val="single" w:sz="8" w:color="auto"/>
            </w:tcBorders>
          </w:tcPr>
          <w:p>
            <w:pPr>
              <w:spacing w:after="0"/>
              <w:rPr>
                <w:sz w:val="15"/>
                <w:szCs w:val="15"/>
                <w:color w:val="auto"/>
              </w:rPr>
            </w:pPr>
          </w:p>
        </w:tc>
      </w:tr>
      <w:tr>
        <w:trPr>
          <w:trHeight w:val="188"/>
        </w:trPr>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600 million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258 million</w:t>
            </w:r>
          </w:p>
        </w:tc>
        <w:tc>
          <w:tcPr>
            <w:tcW w:w="900" w:type="dxa"/>
            <w:vAlign w:val="bottom"/>
          </w:tcPr>
          <w:p>
            <w:pPr>
              <w:jc w:val="right"/>
              <w:ind w:right="16"/>
              <w:spacing w:after="0" w:line="189" w:lineRule="exact"/>
              <w:rPr>
                <w:sz w:val="20"/>
                <w:szCs w:val="20"/>
                <w:color w:val="auto"/>
              </w:rPr>
            </w:pPr>
            <w:r>
              <w:rPr>
                <w:rFonts w:ascii="Times New Roman" w:cs="Times New Roman" w:eastAsia="Times New Roman" w:hAnsi="Times New Roman"/>
                <w:sz w:val="17"/>
                <w:szCs w:val="17"/>
                <w:color w:val="auto"/>
              </w:rPr>
              <w:t>7.00%</w:t>
            </w:r>
          </w:p>
        </w:tc>
        <w:tc>
          <w:tcPr>
            <w:tcW w:w="24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7/17/1998</w:t>
            </w:r>
          </w:p>
        </w:tc>
        <w:tc>
          <w:tcPr>
            <w:tcW w:w="24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7/15/2028*</w:t>
            </w:r>
          </w:p>
        </w:tc>
        <w:tc>
          <w:tcPr>
            <w:tcW w:w="160" w:type="dxa"/>
            <w:vAlign w:val="bottom"/>
          </w:tcPr>
          <w:p>
            <w:pPr>
              <w:spacing w:after="0"/>
              <w:rPr>
                <w:sz w:val="16"/>
                <w:szCs w:val="16"/>
                <w:color w:val="auto"/>
              </w:rPr>
            </w:pPr>
          </w:p>
        </w:tc>
        <w:tc>
          <w:tcPr>
            <w:tcW w:w="124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7"/>
                <w:szCs w:val="17"/>
                <w:color w:val="auto"/>
                <w:w w:val="99"/>
              </w:rPr>
              <w:t>902917AH6</w:t>
            </w:r>
          </w:p>
        </w:tc>
        <w:tc>
          <w:tcPr>
            <w:tcW w:w="1620" w:type="dxa"/>
            <w:vAlign w:val="bottom"/>
          </w:tcPr>
          <w:p>
            <w:pPr>
              <w:jc w:val="center"/>
              <w:ind w:left="196"/>
              <w:spacing w:after="0" w:line="189" w:lineRule="exact"/>
              <w:rPr>
                <w:sz w:val="20"/>
                <w:szCs w:val="20"/>
                <w:color w:val="auto"/>
              </w:rPr>
            </w:pPr>
            <w:r>
              <w:rPr>
                <w:rFonts w:ascii="Times New Roman" w:cs="Times New Roman" w:eastAsia="Times New Roman" w:hAnsi="Times New Roman"/>
                <w:sz w:val="17"/>
                <w:szCs w:val="17"/>
                <w:color w:val="auto"/>
              </w:rPr>
              <w:t>January 15; July 15</w:t>
            </w:r>
          </w:p>
        </w:tc>
        <w:tc>
          <w:tcPr>
            <w:tcW w:w="280" w:type="dxa"/>
            <w:vAlign w:val="bottom"/>
          </w:tcPr>
          <w:p>
            <w:pPr>
              <w:spacing w:after="0"/>
              <w:rPr>
                <w:sz w:val="16"/>
                <w:szCs w:val="16"/>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81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7.375%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1/21/2000</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5/15/2029*</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94106LAG4</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May 15; November 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144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7.75%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1/3/2003</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5/15/2032*</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94106LAN9</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May 15; November 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600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246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6.125%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11/17/2009</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11/30/2039</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7"/>
              </w:rPr>
              <w:t>94106LAV1</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May 30; November 30</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600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422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3.125%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2/26/2015</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3/1/2025</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94106LBA6</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 September</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450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297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3.90%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2/26/2015</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3/1/2035</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9"/>
              </w:rPr>
              <w:t>94106LBB4</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 September</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750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416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4.10%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2/26/2015</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3/1/2045</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9"/>
              </w:rPr>
              <w:t>94106LBC2</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 September</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750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750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3.15%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11/8/2017</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11/15/2027</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94106LBE8</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May 15; November 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 billion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684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4.15%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5/22/2019</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7/15/2049</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94106LBK4</w:t>
            </w:r>
          </w:p>
        </w:tc>
        <w:tc>
          <w:tcPr>
            <w:tcW w:w="1620" w:type="dxa"/>
            <w:vAlign w:val="bottom"/>
          </w:tcPr>
          <w:p>
            <w:pPr>
              <w:jc w:val="center"/>
              <w:ind w:left="196"/>
              <w:spacing w:after="0"/>
              <w:rPr>
                <w:sz w:val="20"/>
                <w:szCs w:val="20"/>
                <w:color w:val="auto"/>
              </w:rPr>
            </w:pPr>
            <w:r>
              <w:rPr>
                <w:rFonts w:ascii="Times New Roman" w:cs="Times New Roman" w:eastAsia="Times New Roman" w:hAnsi="Times New Roman"/>
                <w:sz w:val="17"/>
                <w:szCs w:val="17"/>
                <w:color w:val="auto"/>
              </w:rPr>
              <w:t>January 15; July 15</w:t>
            </w:r>
          </w:p>
        </w:tc>
        <w:tc>
          <w:tcPr>
            <w:tcW w:w="280" w:type="dxa"/>
            <w:vAlign w:val="bottom"/>
          </w:tcPr>
          <w:p>
            <w:pPr>
              <w:spacing w:after="0"/>
              <w:rPr>
                <w:sz w:val="18"/>
                <w:szCs w:val="18"/>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500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0.75%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11/17/2020</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11/15/2025</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94106LBL2</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May 15; November 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500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1.15%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11/17/2020</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3/15/2028</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94106LBN8</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15; September</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 billion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 billion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1.50%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11/17/2020</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3/15/2031</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94106LBP3</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15; September</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500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2.50%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11/17/2020</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11/15/2050</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94106LBM0</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May 15; November 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475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475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2.00%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5/12/2021</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6/1/2029</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94106LBQ1</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June 1; December 1</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475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475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2.95%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5/12/2021</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6/1/2041</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9"/>
              </w:rPr>
              <w:t>94106LBR9</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June 1; December 1</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 billion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 billion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4.15%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5/12/2022</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4/15/2032</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94106LBS7</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April 15; October 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750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750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4.625%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2/15/2023</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2/15/2030</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94106LBT5</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February 15; August 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500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4.625%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2/15/2023</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2/15/2033</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94106LBU2</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February 15; August 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750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750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4.875%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8/3/2023</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2/15/2029</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94106LBV0</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February 15; August 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1.25 billion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1.25 billion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4.875%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8/3/2023</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2/15/2034</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94106LBW8</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February 15; August 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750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750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4.950%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7/3/2024</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7/3/2027</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94106LBX6</w:t>
            </w:r>
          </w:p>
        </w:tc>
        <w:tc>
          <w:tcPr>
            <w:tcW w:w="1620" w:type="dxa"/>
            <w:vAlign w:val="bottom"/>
          </w:tcPr>
          <w:p>
            <w:pPr>
              <w:jc w:val="center"/>
              <w:ind w:left="176"/>
              <w:spacing w:after="0"/>
              <w:rPr>
                <w:sz w:val="20"/>
                <w:szCs w:val="20"/>
                <w:color w:val="auto"/>
              </w:rPr>
            </w:pPr>
            <w:r>
              <w:rPr>
                <w:rFonts w:ascii="Times New Roman" w:cs="Times New Roman" w:eastAsia="Times New Roman" w:hAnsi="Times New Roman"/>
                <w:sz w:val="17"/>
                <w:szCs w:val="17"/>
                <w:color w:val="auto"/>
              </w:rPr>
              <w:t>January 3; July 3</w:t>
            </w:r>
          </w:p>
        </w:tc>
        <w:tc>
          <w:tcPr>
            <w:tcW w:w="280" w:type="dxa"/>
            <w:vAlign w:val="bottom"/>
          </w:tcPr>
          <w:p>
            <w:pPr>
              <w:spacing w:after="0"/>
              <w:rPr>
                <w:sz w:val="18"/>
                <w:szCs w:val="18"/>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750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750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4.950%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7/3/2024</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7/3/2031</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94106LBY4</w:t>
            </w:r>
          </w:p>
        </w:tc>
        <w:tc>
          <w:tcPr>
            <w:tcW w:w="1620" w:type="dxa"/>
            <w:vAlign w:val="bottom"/>
          </w:tcPr>
          <w:p>
            <w:pPr>
              <w:jc w:val="center"/>
              <w:ind w:left="176"/>
              <w:spacing w:after="0"/>
              <w:rPr>
                <w:sz w:val="20"/>
                <w:szCs w:val="20"/>
                <w:color w:val="auto"/>
              </w:rPr>
            </w:pPr>
            <w:r>
              <w:rPr>
                <w:rFonts w:ascii="Times New Roman" w:cs="Times New Roman" w:eastAsia="Times New Roman" w:hAnsi="Times New Roman"/>
                <w:sz w:val="17"/>
                <w:szCs w:val="17"/>
                <w:color w:val="auto"/>
              </w:rPr>
              <w:t>January 3; July 3</w:t>
            </w:r>
          </w:p>
        </w:tc>
        <w:tc>
          <w:tcPr>
            <w:tcW w:w="280" w:type="dxa"/>
            <w:vAlign w:val="bottom"/>
          </w:tcPr>
          <w:p>
            <w:pPr>
              <w:spacing w:after="0"/>
              <w:rPr>
                <w:sz w:val="18"/>
                <w:szCs w:val="18"/>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 billion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 billion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4.500%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11/4/2024</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3/15/2028</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9"/>
              </w:rPr>
              <w:t>94106LCB3</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15; September</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700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700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4.650%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11/4/2024</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3/15/2030</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9"/>
              </w:rPr>
              <w:t>94106LCC1</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15; September</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750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750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4.800%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11/4/2024</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3/15/2032</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94106LCD9</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15; September</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 billion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1.5 billion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4.950%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11/4/2024</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3/15/2035</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94106LCE7</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15; September</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1.25 billion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1.25 billion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5.350%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11/4/2024</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10/15/2054</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94106LCF4</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April 15; October 15</w:t>
            </w:r>
          </w:p>
        </w:tc>
      </w:tr>
      <w:tr>
        <w:trPr>
          <w:trHeight w:val="249"/>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485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485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3.875%</w:t>
            </w:r>
          </w:p>
        </w:tc>
        <w:tc>
          <w:tcPr>
            <w:tcW w:w="2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11/8/2024**</w:t>
            </w:r>
          </w:p>
        </w:tc>
        <w:tc>
          <w:tcPr>
            <w:tcW w:w="2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1/15/2029</w:t>
            </w:r>
          </w:p>
        </w:tc>
        <w:tc>
          <w:tcPr>
            <w:tcW w:w="160" w:type="dxa"/>
            <w:vAlign w:val="bottom"/>
          </w:tcPr>
          <w:p>
            <w:pPr>
              <w:spacing w:after="0"/>
              <w:rPr>
                <w:sz w:val="21"/>
                <w:szCs w:val="21"/>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94106LBZ1</w:t>
            </w:r>
          </w:p>
        </w:tc>
        <w:tc>
          <w:tcPr>
            <w:tcW w:w="1620" w:type="dxa"/>
            <w:vAlign w:val="bottom"/>
          </w:tcPr>
          <w:p>
            <w:pPr>
              <w:jc w:val="center"/>
              <w:ind w:left="196"/>
              <w:spacing w:after="0"/>
              <w:rPr>
                <w:sz w:val="20"/>
                <w:szCs w:val="20"/>
                <w:color w:val="auto"/>
              </w:rPr>
            </w:pPr>
            <w:r>
              <w:rPr>
                <w:rFonts w:ascii="Times New Roman" w:cs="Times New Roman" w:eastAsia="Times New Roman" w:hAnsi="Times New Roman"/>
                <w:sz w:val="17"/>
                <w:szCs w:val="17"/>
                <w:color w:val="auto"/>
              </w:rPr>
              <w:t>January 15; July 15</w:t>
            </w:r>
          </w:p>
        </w:tc>
        <w:tc>
          <w:tcPr>
            <w:tcW w:w="2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78105</wp:posOffset>
            </wp:positionV>
            <wp:extent cx="14141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7" w:lineRule="exact"/>
        <w:rPr>
          <w:sz w:val="20"/>
          <w:szCs w:val="20"/>
          <w:color w:val="auto"/>
        </w:rPr>
      </w:pPr>
    </w:p>
    <w:p>
      <w:pPr>
        <w:jc w:val="both"/>
        <w:ind w:left="360" w:right="59" w:hanging="316"/>
        <w:spacing w:after="0" w:line="261" w:lineRule="auto"/>
        <w:tabs>
          <w:tab w:leader="none" w:pos="3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these series of Senior Notes do not contain a Change of Control Offer covenant. Such covenant provides that, if a change of control triggering event occurs, each holder of the notes may require us to purchase all or a portion of such</w:t>
      </w:r>
    </w:p>
    <w:p>
      <w:pPr>
        <w:ind w:left="360"/>
        <w:spacing w:after="0"/>
        <w:rPr>
          <w:sz w:val="20"/>
          <w:szCs w:val="20"/>
          <w:color w:val="auto"/>
        </w:rPr>
      </w:pPr>
      <w:r>
        <w:rPr>
          <w:rFonts w:ascii="Times New Roman" w:cs="Times New Roman" w:eastAsia="Times New Roman" w:hAnsi="Times New Roman"/>
          <w:sz w:val="18"/>
          <w:szCs w:val="18"/>
          <w:color w:val="auto"/>
        </w:rPr>
        <w:t>holder’s notes at a price equal to 101% of the principal amount, plus accrued interest, if any, to the date of purchase.</w:t>
      </w:r>
    </w:p>
    <w:p>
      <w:pPr>
        <w:spacing w:after="0" w:line="9" w:lineRule="exact"/>
        <w:rPr>
          <w:sz w:val="20"/>
          <w:szCs w:val="20"/>
          <w:color w:val="auto"/>
        </w:rPr>
      </w:pPr>
    </w:p>
    <w:p>
      <w:pPr>
        <w:jc w:val="both"/>
        <w:ind w:left="360" w:right="59" w:hanging="316"/>
        <w:spacing w:after="0" w:line="249" w:lineRule="auto"/>
        <w:tabs>
          <w:tab w:leader="none" w:pos="40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8, 2024, we completed our private offer to eligible holders to exchange $500 million of outstanding 3.875% senior notes issued by Stericycle, Inc. (the “Stericycle Notes”) for new notes issued by Waste Management, Inc. (the “WM Notes”) and cash. The WM Notes have the same interest rate, interest payment dates, and maturity date as the exchanged Stericycle Notes but differ in certain respects from the Stericycle Notes, including with respect to the redemption provisions. Approximately $485 million in aggregate principal amount of the Stericycle Notes, or 97%, were tendered and accepted, and the new WM Notes were issued. See Exhibits 4.18, 4.19 and 4.20 to this Form 10-K for additional information and terms of the WM Notes. The portion of Stericycle Notes not exchanged, approximately $15 million, remains an outstanding obligation of Stericycle, Inc., our wholly-owned subsidiary, and is not a material debt obligation of Waste Management, Inc.</w:t>
      </w:r>
    </w:p>
    <w:p>
      <w:pPr>
        <w:spacing w:after="0" w:line="195"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This schedule is provided in accordance with Instruction 2 to Regulation S-K Item 601, as each of the series of Senior Notes, other than the WM Notes, is governed by an instrument that differs only in the material respects set forth in the schedule above from the Officers’ Certificate identified as Exhibit 4.8 to this Form 10 K. Each of the series of Senior Notes identified above is also guaranteed by Waste Management Holdings, Inc. in favor of The Bank of New York Mellon Trust Company, N.A., as Trustee for the holders of Waste Management, Inc.’s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5" w:name="page156"/>
    <w:bookmarkEnd w:id="155"/>
    <w:p>
      <w:pPr>
        <w:ind w:left="7960"/>
        <w:spacing w:after="0"/>
        <w:rPr>
          <w:sz w:val="20"/>
          <w:szCs w:val="20"/>
          <w:color w:val="auto"/>
        </w:rPr>
      </w:pPr>
      <w:r>
        <w:rPr>
          <w:rFonts w:ascii="Times New Roman" w:cs="Times New Roman" w:eastAsia="Times New Roman" w:hAnsi="Times New Roman"/>
          <w:sz w:val="17"/>
          <w:szCs w:val="17"/>
          <w:b w:val="1"/>
          <w:bCs w:val="1"/>
          <w:color w:val="auto"/>
        </w:rPr>
        <w:t>Exhibit 4.8</w:t>
      </w:r>
    </w:p>
    <w:p>
      <w:pPr>
        <w:spacing w:after="0" w:line="43" w:lineRule="exact"/>
        <w:rPr>
          <w:sz w:val="20"/>
          <w:szCs w:val="20"/>
          <w:color w:val="auto"/>
        </w:rPr>
      </w:pPr>
    </w:p>
    <w:p>
      <w:pPr>
        <w:jc w:val="center"/>
        <w:ind w:left="200" w:right="219"/>
        <w:spacing w:after="0" w:line="277" w:lineRule="auto"/>
        <w:rPr>
          <w:sz w:val="20"/>
          <w:szCs w:val="20"/>
          <w:color w:val="auto"/>
        </w:rPr>
      </w:pPr>
      <w:r>
        <w:rPr>
          <w:rFonts w:ascii="Times New Roman" w:cs="Times New Roman" w:eastAsia="Times New Roman" w:hAnsi="Times New Roman"/>
          <w:sz w:val="20"/>
          <w:szCs w:val="20"/>
          <w:b w:val="1"/>
          <w:bCs w:val="1"/>
          <w:color w:val="auto"/>
        </w:rPr>
        <w:t>WASTE MANAGEMENT, INC. Officers’ Certificate Delivered Pursuant to Section 301 of the Indenture dated as of September 10, 1997</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November 4, 2024</w:t>
      </w:r>
    </w:p>
    <w:p>
      <w:pPr>
        <w:spacing w:after="0" w:line="233" w:lineRule="exact"/>
        <w:rPr>
          <w:sz w:val="20"/>
          <w:szCs w:val="20"/>
          <w:color w:val="auto"/>
        </w:rPr>
      </w:pPr>
    </w:p>
    <w:p>
      <w:pPr>
        <w:ind w:left="200" w:right="219" w:firstLine="1296"/>
        <w:spacing w:after="0" w:line="297" w:lineRule="auto"/>
        <w:rPr>
          <w:sz w:val="20"/>
          <w:szCs w:val="20"/>
          <w:color w:val="auto"/>
        </w:rPr>
      </w:pPr>
      <w:r>
        <w:rPr>
          <w:rFonts w:ascii="Times New Roman" w:cs="Times New Roman" w:eastAsia="Times New Roman" w:hAnsi="Times New Roman"/>
          <w:sz w:val="20"/>
          <w:szCs w:val="20"/>
          <w:color w:val="auto"/>
        </w:rPr>
        <w:t>The undersigned, the Vice President and Treasurer, and the Vice President and Corporate Secretary of Waste Management, Inc. (the “Company”), hereby certify that:</w:t>
      </w:r>
    </w:p>
    <w:p>
      <w:pPr>
        <w:spacing w:after="0" w:line="160" w:lineRule="exact"/>
        <w:rPr>
          <w:sz w:val="20"/>
          <w:szCs w:val="20"/>
          <w:color w:val="auto"/>
        </w:rPr>
      </w:pPr>
    </w:p>
    <w:p>
      <w:pPr>
        <w:jc w:val="both"/>
        <w:ind w:left="200" w:right="219" w:firstLine="1305"/>
        <w:spacing w:after="0" w:line="267" w:lineRule="auto"/>
        <w:tabs>
          <w:tab w:leader="none" w:pos="21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November 4, 2024 (the “Order”) for the authentication and delivery by the Trustee of $1,000,000,000 aggregate principal amount of 4.500% Senior Notes due 2028 (the “Notes”).</w:t>
      </w:r>
    </w:p>
    <w:p>
      <w:pPr>
        <w:spacing w:after="0" w:line="193" w:lineRule="exact"/>
        <w:rPr>
          <w:rFonts w:ascii="Times New Roman" w:cs="Times New Roman" w:eastAsia="Times New Roman" w:hAnsi="Times New Roman"/>
          <w:sz w:val="20"/>
          <w:szCs w:val="20"/>
          <w:color w:val="auto"/>
        </w:rPr>
      </w:pPr>
    </w:p>
    <w:p>
      <w:pPr>
        <w:ind w:left="200" w:right="219" w:firstLine="1305"/>
        <w:spacing w:after="0" w:line="297" w:lineRule="auto"/>
        <w:tabs>
          <w:tab w:leader="none" w:pos="21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have read Sections 102, 103, 301 and 303 of the Indenture and the definitions in the Indenture relating thereto.</w:t>
      </w:r>
    </w:p>
    <w:p>
      <w:pPr>
        <w:spacing w:after="0" w:line="159" w:lineRule="exact"/>
        <w:rPr>
          <w:rFonts w:ascii="Times New Roman" w:cs="Times New Roman" w:eastAsia="Times New Roman" w:hAnsi="Times New Roman"/>
          <w:sz w:val="20"/>
          <w:szCs w:val="20"/>
          <w:color w:val="auto"/>
        </w:rPr>
      </w:pPr>
    </w:p>
    <w:p>
      <w:pPr>
        <w:jc w:val="both"/>
        <w:ind w:left="200" w:right="219" w:firstLine="1305"/>
        <w:spacing w:after="0" w:line="296" w:lineRule="auto"/>
        <w:tabs>
          <w:tab w:leader="none" w:pos="2144"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63" w:lineRule="exact"/>
        <w:rPr>
          <w:rFonts w:ascii="Times New Roman" w:cs="Times New Roman" w:eastAsia="Times New Roman" w:hAnsi="Times New Roman"/>
          <w:sz w:val="19"/>
          <w:szCs w:val="19"/>
          <w:color w:val="auto"/>
        </w:rPr>
      </w:pPr>
    </w:p>
    <w:p>
      <w:pPr>
        <w:ind w:left="200" w:right="219" w:firstLine="1305"/>
        <w:spacing w:after="0" w:line="297" w:lineRule="auto"/>
        <w:tabs>
          <w:tab w:leader="none" w:pos="21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have examined the Order, and they have read the covenants, conditions and provisions of the Indenture relating thereto.</w:t>
      </w:r>
    </w:p>
    <w:p>
      <w:pPr>
        <w:spacing w:after="0" w:line="146" w:lineRule="exact"/>
        <w:rPr>
          <w:rFonts w:ascii="Times New Roman" w:cs="Times New Roman" w:eastAsia="Times New Roman" w:hAnsi="Times New Roman"/>
          <w:sz w:val="20"/>
          <w:szCs w:val="20"/>
          <w:color w:val="auto"/>
        </w:rPr>
      </w:pPr>
    </w:p>
    <w:p>
      <w:pPr>
        <w:jc w:val="both"/>
        <w:ind w:left="200" w:right="219" w:firstLine="1305"/>
        <w:spacing w:after="0" w:line="277" w:lineRule="auto"/>
        <w:tabs>
          <w:tab w:leader="none" w:pos="21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66" w:lineRule="exact"/>
        <w:rPr>
          <w:rFonts w:ascii="Times New Roman" w:cs="Times New Roman" w:eastAsia="Times New Roman" w:hAnsi="Times New Roman"/>
          <w:sz w:val="20"/>
          <w:szCs w:val="20"/>
          <w:color w:val="auto"/>
        </w:rPr>
      </w:pPr>
    </w:p>
    <w:p>
      <w:pPr>
        <w:jc w:val="both"/>
        <w:ind w:left="200" w:right="219" w:firstLine="1305"/>
        <w:spacing w:after="0" w:line="277" w:lineRule="auto"/>
        <w:tabs>
          <w:tab w:leader="none" w:pos="21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covenants and conditions (including all conditions precedent) provided in the Indenture to the authentication and delivery by the Trustee of $1,000,000,000 aggregate principal amount of the Notes have been complied with, and such Notes may be delivered in accordance with the Order as provided in the Indenture.</w:t>
      </w:r>
    </w:p>
    <w:p>
      <w:pPr>
        <w:spacing w:after="0" w:line="166" w:lineRule="exact"/>
        <w:rPr>
          <w:rFonts w:ascii="Times New Roman" w:cs="Times New Roman" w:eastAsia="Times New Roman" w:hAnsi="Times New Roman"/>
          <w:sz w:val="20"/>
          <w:szCs w:val="20"/>
          <w:color w:val="auto"/>
        </w:rPr>
      </w:pPr>
    </w:p>
    <w:p>
      <w:pPr>
        <w:jc w:val="both"/>
        <w:ind w:left="200" w:right="219" w:firstLine="1305"/>
        <w:spacing w:after="0" w:line="277" w:lineRule="auto"/>
        <w:tabs>
          <w:tab w:leader="none" w:pos="21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terms of the Notes (including the Form of Note) as set forth in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to this Certificate have been approved by officers of the Company as authorized by resolutions duly adopted on March 1, 2022, August 21, 2023, August 26, 2024 and October 3, 2024 by the Board of Directors of the Company, which are in full force and effect as of the date hereof.</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650875</wp:posOffset>
            </wp:positionV>
            <wp:extent cx="545211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156" w:name="page157"/>
    <w:bookmarkEnd w:id="156"/>
    <w:p>
      <w:pPr>
        <w:ind w:left="200" w:right="1039" w:firstLine="1296"/>
        <w:spacing w:after="0" w:line="297" w:lineRule="auto"/>
        <w:rPr>
          <w:sz w:val="20"/>
          <w:szCs w:val="20"/>
          <w:color w:val="auto"/>
        </w:rPr>
      </w:pPr>
      <w:r>
        <w:rPr>
          <w:rFonts w:ascii="Times New Roman" w:cs="Times New Roman" w:eastAsia="Times New Roman" w:hAnsi="Times New Roman"/>
          <w:sz w:val="20"/>
          <w:szCs w:val="20"/>
          <w:color w:val="auto"/>
        </w:rPr>
        <w:t>IN WITNESS WHEREOF, the undersigned have hereunto executed this Officers’ Certificate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22860</wp:posOffset>
            </wp:positionV>
            <wp:extent cx="27260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Leslie K. Nagy</w:t>
      </w:r>
    </w:p>
    <w:p>
      <w:pPr>
        <w:spacing w:after="0" w:line="2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22860</wp:posOffset>
            </wp:positionV>
            <wp:extent cx="27260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Courtney A. Tippy</w:t>
      </w:r>
    </w:p>
    <w:p>
      <w:pPr>
        <w:spacing w:after="0" w:line="2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Vice President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Certificate Delivered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301 of the Indenture dated as of September 10, 1997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57" w:name="page158"/>
    <w:bookmarkEnd w:id="157"/>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Annex A</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Terms of the Notes</w:t>
      </w:r>
    </w:p>
    <w:p>
      <w:pPr>
        <w:spacing w:after="0" w:line="200" w:lineRule="exact"/>
        <w:rPr>
          <w:sz w:val="20"/>
          <w:szCs w:val="20"/>
          <w:color w:val="auto"/>
        </w:rPr>
      </w:pPr>
    </w:p>
    <w:p>
      <w:pPr>
        <w:spacing w:after="0" w:line="366"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auto"/>
        </w:rPr>
        <w:t>Pursuant to authority granted by the Board of Directors of the Company on March 1, 2022, August 21, 2023, August 26, 2024 and October 3, 2024 and the Sole Director of Waste Management Holdings, Inc. on October 3, 2024,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91" w:lineRule="exact"/>
        <w:rPr>
          <w:sz w:val="20"/>
          <w:szCs w:val="20"/>
          <w:color w:val="auto"/>
        </w:rPr>
      </w:pPr>
    </w:p>
    <w:p>
      <w:pPr>
        <w:ind w:left="860" w:hanging="651"/>
        <w:spacing w:after="0"/>
        <w:tabs>
          <w:tab w:leader="none" w:pos="86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title of the series of Securities shall be “4.500% Senior Notes due 2028” (the “Notes”).</w:t>
      </w:r>
    </w:p>
    <w:p>
      <w:pPr>
        <w:spacing w:after="0" w:line="231" w:lineRule="exact"/>
        <w:rPr>
          <w:rFonts w:ascii="Times New Roman" w:cs="Times New Roman" w:eastAsia="Times New Roman" w:hAnsi="Times New Roman"/>
          <w:sz w:val="21"/>
          <w:szCs w:val="21"/>
          <w:color w:val="auto"/>
        </w:rPr>
      </w:pPr>
    </w:p>
    <w:p>
      <w:pPr>
        <w:ind w:left="860" w:hanging="651"/>
        <w:spacing w:after="0"/>
        <w:tabs>
          <w:tab w:leader="none" w:pos="8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general unsecured, senior obligations of the Company.</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aggregate principal amount of the Notes that may be authenticated and delivered under the Indenture shall be $1,000,000,000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81"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each Note shall be payable on March 15, 2028.</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Note shall bear interest from November 4, 2024 at the fixed rate of 4.500% per annum; the Interest Payment Dates on which such interest shall be payable shall be March 15 and September 15 of each year, commencing March 15, 2025, until maturity, unless such date falls on a day that is not a Business Day, in which case, such payment shall be made on the next day that is a Business Day. The Regular Record Date for the determination of Holders to whom interest is payable shall be March 1 or September 1, respectively, immediately preceding such date, as the case may be.</w:t>
      </w:r>
    </w:p>
    <w:p>
      <w:pPr>
        <w:spacing w:after="0" w:line="181" w:lineRule="exact"/>
        <w:rPr>
          <w:rFonts w:ascii="Times New Roman" w:cs="Times New Roman" w:eastAsia="Times New Roman" w:hAnsi="Times New Roman"/>
          <w:sz w:val="22"/>
          <w:szCs w:val="22"/>
          <w:color w:val="auto"/>
        </w:rPr>
      </w:pPr>
    </w:p>
    <w:p>
      <w:pPr>
        <w:jc w:val="both"/>
        <w:ind w:left="860" w:right="219" w:hanging="651"/>
        <w:spacing w:after="0" w:line="252" w:lineRule="auto"/>
        <w:tabs>
          <w:tab w:leader="none" w:pos="8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79"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615950</wp:posOffset>
            </wp:positionV>
            <wp:extent cx="545211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158" w:name="page159"/>
    <w:bookmarkEnd w:id="158"/>
    <w:p>
      <w:pPr>
        <w:jc w:val="both"/>
        <w:ind w:left="860" w:right="219" w:hanging="651"/>
        <w:spacing w:after="0" w:line="251" w:lineRule="auto"/>
        <w:tabs>
          <w:tab w:leader="none" w:pos="8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67" w:lineRule="exact"/>
        <w:rPr>
          <w:rFonts w:ascii="Times New Roman" w:cs="Times New Roman" w:eastAsia="Times New Roman" w:hAnsi="Times New Roman"/>
          <w:sz w:val="22"/>
          <w:szCs w:val="22"/>
          <w:color w:val="auto"/>
        </w:rPr>
      </w:pPr>
    </w:p>
    <w:p>
      <w:pPr>
        <w:jc w:val="both"/>
        <w:ind w:left="860" w:right="239" w:hanging="651"/>
        <w:spacing w:after="0" w:line="281" w:lineRule="auto"/>
        <w:tabs>
          <w:tab w:leader="none" w:pos="86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37" w:lineRule="exact"/>
        <w:rPr>
          <w:rFonts w:ascii="Times New Roman" w:cs="Times New Roman" w:eastAsia="Times New Roman" w:hAnsi="Times New Roman"/>
          <w:sz w:val="21"/>
          <w:szCs w:val="21"/>
          <w:color w:val="auto"/>
        </w:rPr>
      </w:pPr>
    </w:p>
    <w:p>
      <w:pPr>
        <w:jc w:val="both"/>
        <w:ind w:left="1500" w:right="219" w:firstLine="5"/>
        <w:spacing w:after="0" w:line="253" w:lineRule="auto"/>
        <w:tabs>
          <w:tab w:leader="none" w:pos="1857"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10 basis points, less (b) interest accrued to the Redemption Date, and</w:t>
      </w:r>
    </w:p>
    <w:p>
      <w:pPr>
        <w:spacing w:after="0" w:line="178" w:lineRule="exact"/>
        <w:rPr>
          <w:rFonts w:ascii="Times New Roman" w:cs="Times New Roman" w:eastAsia="Times New Roman" w:hAnsi="Times New Roman"/>
          <w:sz w:val="22"/>
          <w:szCs w:val="22"/>
          <w:color w:val="auto"/>
        </w:rPr>
      </w:pPr>
    </w:p>
    <w:p>
      <w:pPr>
        <w:ind w:left="1820" w:hanging="315"/>
        <w:spacing w:after="0"/>
        <w:tabs>
          <w:tab w:leader="none" w:pos="182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Notes to be redeemed,</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plus, in either case, accrued and unpaid interest thereon to the Redemption Date.</w:t>
      </w:r>
    </w:p>
    <w:p>
      <w:pPr>
        <w:spacing w:after="0" w:line="220" w:lineRule="exact"/>
        <w:rPr>
          <w:sz w:val="20"/>
          <w:szCs w:val="20"/>
          <w:color w:val="auto"/>
        </w:rPr>
      </w:pPr>
    </w:p>
    <w:p>
      <w:pPr>
        <w:jc w:val="both"/>
        <w:ind w:left="860" w:right="219"/>
        <w:spacing w:after="0" w:line="252" w:lineRule="auto"/>
        <w:rPr>
          <w:sz w:val="20"/>
          <w:szCs w:val="20"/>
          <w:color w:val="auto"/>
        </w:rPr>
      </w:pPr>
      <w:r>
        <w:rPr>
          <w:rFonts w:ascii="Times New Roman" w:cs="Times New Roman" w:eastAsia="Times New Roman" w:hAnsi="Times New Roman"/>
          <w:sz w:val="22"/>
          <w:szCs w:val="22"/>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“Par Call Date” means February 15, 2028.</w:t>
      </w:r>
    </w:p>
    <w:p>
      <w:pPr>
        <w:spacing w:after="0" w:line="220" w:lineRule="exact"/>
        <w:rPr>
          <w:sz w:val="20"/>
          <w:szCs w:val="20"/>
          <w:color w:val="auto"/>
        </w:rPr>
      </w:pPr>
    </w:p>
    <w:p>
      <w:pPr>
        <w:jc w:val="both"/>
        <w:ind w:left="860" w:right="239" w:hanging="651"/>
        <w:spacing w:after="0" w:line="257" w:lineRule="auto"/>
        <w:tabs>
          <w:tab w:leader="none" w:pos="8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no obligation to redeem, purchase or repay the Notes pursuant to any mandatory redemption, sinking fund or analogous provisions or at the option of a Holder thereof.</w:t>
      </w:r>
    </w:p>
    <w:p>
      <w:pPr>
        <w:spacing w:after="0" w:line="172"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will be subject to defeasance and discharge as contemplated by Section 1302 of the Indenture and to covenant defeasance under Section 1303 of the Indenture.</w:t>
      </w:r>
    </w:p>
    <w:p>
      <w:pPr>
        <w:spacing w:after="0" w:line="157"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entitled to the benefit of the covenants contained in Sections 1008 and 1009 of the Indenture.</w:t>
      </w:r>
    </w:p>
    <w:p>
      <w:pPr>
        <w:spacing w:after="0" w:line="157"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u w:val="single" w:color="auto"/>
          <w:color w:val="auto"/>
        </w:rPr>
        <w:t>Bank of New York Mellon Trust Company, N.A.</w:t>
      </w:r>
      <w:r>
        <w:rPr>
          <w:rFonts w:ascii="Times New Roman" w:cs="Times New Roman" w:eastAsia="Times New Roman" w:hAnsi="Times New Roman"/>
          <w:sz w:val="22"/>
          <w:szCs w:val="22"/>
          <w:color w:val="auto"/>
        </w:rPr>
        <w:t xml:space="preserve"> shall serve initially as Security Registrar for the Notes.</w:t>
      </w:r>
    </w:p>
    <w:p>
      <w:pPr>
        <w:spacing w:after="0" w:line="157"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substantially in the form of Exhibit A hereto.</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65" w:lineRule="auto"/>
        <w:tabs>
          <w:tab w:leader="none" w:pos="86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Notes will be fully and unconditionally guaranteed on a senior basis by the Company’s wholly owned subsidiary, Waste Management Holdings, Inc., pursuant to the terms and conditions of a Guarantee Agreement dated November 4, 2024 (the “Guarantee”). The amount of the Guarantee will be limited to the extent required under applicable fraudulent conveyance laws to cause the Guarantee to be enforceable. The terms and conditions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602615</wp:posOffset>
            </wp:positionV>
            <wp:extent cx="545211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9" w:name="page160"/>
    <w:bookmarkEnd w:id="159"/>
    <w:p>
      <w:pPr>
        <w:ind w:left="860" w:right="239"/>
        <w:spacing w:after="0" w:line="271" w:lineRule="auto"/>
        <w:rPr>
          <w:sz w:val="20"/>
          <w:szCs w:val="20"/>
          <w:color w:val="auto"/>
        </w:rPr>
      </w:pPr>
      <w:r>
        <w:rPr>
          <w:rFonts w:ascii="Times New Roman" w:cs="Times New Roman" w:eastAsia="Times New Roman" w:hAnsi="Times New Roman"/>
          <w:sz w:val="22"/>
          <w:szCs w:val="22"/>
          <w:color w:val="auto"/>
        </w:rPr>
        <w:t>Guarantee shall continue in full force and effect for the benefit of holders of the Notes until release thereof as set forth in Section 6 of the Guarantee.</w:t>
      </w:r>
    </w:p>
    <w:p>
      <w:pPr>
        <w:spacing w:after="0" w:line="158" w:lineRule="exact"/>
        <w:rPr>
          <w:sz w:val="20"/>
          <w:szCs w:val="20"/>
          <w:color w:val="auto"/>
        </w:rPr>
      </w:pPr>
    </w:p>
    <w:p>
      <w:pPr>
        <w:jc w:val="both"/>
        <w:ind w:left="860" w:right="219" w:hanging="651"/>
        <w:spacing w:after="0" w:line="263" w:lineRule="auto"/>
        <w:tabs>
          <w:tab w:leader="none" w:pos="8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1503680</wp:posOffset>
            </wp:positionV>
            <wp:extent cx="545211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655320</wp:posOffset>
            </wp:positionV>
            <wp:extent cx="545211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22"/>
          <w:szCs w:val="22"/>
          <w:color w:val="auto"/>
        </w:rPr>
        <w:t>BOOK-ENTRY SECURITY</w:t>
      </w:r>
    </w:p>
    <w:p>
      <w:pPr>
        <w:spacing w:after="0" w:line="220" w:lineRule="exact"/>
        <w:rPr>
          <w:sz w:val="20"/>
          <w:szCs w:val="20"/>
          <w:color w:val="auto"/>
        </w:rPr>
      </w:pPr>
    </w:p>
    <w:p>
      <w:pPr>
        <w:jc w:val="both"/>
        <w:ind w:left="200" w:right="219" w:firstLine="667"/>
        <w:spacing w:after="0" w:line="247" w:lineRule="auto"/>
        <w:rPr>
          <w:sz w:val="20"/>
          <w:szCs w:val="20"/>
          <w:color w:val="auto"/>
        </w:rPr>
      </w:pPr>
      <w:r>
        <w:rPr>
          <w:rFonts w:ascii="Times New Roman" w:cs="Times New Roman" w:eastAsia="Times New Roman" w:hAnsi="Times New Roman"/>
          <w:sz w:val="22"/>
          <w:szCs w:val="22"/>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91"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9019"/>
          </w:cols>
          <w:pgMar w:left="1440" w:top="895" w:right="1440" w:bottom="1440" w:gutter="0" w:footer="0" w:header="0"/>
        </w:sectPr>
      </w:pP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RGN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Principal Amount</w:t>
      </w:r>
    </w:p>
    <w:p>
      <w:pPr>
        <w:spacing w:after="0" w:line="200" w:lineRule="exact"/>
        <w:rPr>
          <w:sz w:val="20"/>
          <w:szCs w:val="20"/>
          <w:color w:val="auto"/>
        </w:rPr>
      </w:pPr>
    </w:p>
    <w:p>
      <w:pPr>
        <w:sectPr>
          <w:pgSz w:w="11900" w:h="16838" w:orient="portrait"/>
          <w:cols w:equalWidth="0" w:num="2">
            <w:col w:w="6440" w:space="720"/>
            <w:col w:w="1859"/>
          </w:cols>
          <w:pgMar w:left="1440" w:top="895" w:right="1440" w:bottom="1440" w:gutter="0" w:footer="0" w:header="0"/>
          <w:type w:val="continuous"/>
        </w:sectPr>
      </w:pPr>
    </w:p>
    <w:p>
      <w:pPr>
        <w:spacing w:after="0" w:line="31" w:lineRule="exact"/>
        <w:rPr>
          <w:sz w:val="20"/>
          <w:szCs w:val="20"/>
          <w:color w:val="auto"/>
        </w:rPr>
      </w:pPr>
    </w:p>
    <w:p>
      <w:pPr>
        <w:ind w:left="7020"/>
        <w:spacing w:after="0"/>
        <w:tabs>
          <w:tab w:leader="none" w:pos="8560" w:val="left"/>
        </w:tabs>
        <w:rPr>
          <w:sz w:val="20"/>
          <w:szCs w:val="20"/>
          <w:color w:val="auto"/>
        </w:rPr>
      </w:pPr>
      <w:r>
        <w:rPr>
          <w:rFonts w:ascii="Times New Roman" w:cs="Times New Roman" w:eastAsia="Times New Roman" w:hAnsi="Times New Roman"/>
          <w:sz w:val="22"/>
          <w:szCs w:val="22"/>
          <w:color w:val="auto"/>
        </w:rPr>
        <w:t>U.S. $</w:t>
      </w:r>
      <w:r>
        <w:rPr>
          <w:sz w:val="20"/>
          <w:szCs w:val="20"/>
          <w:color w:val="auto"/>
        </w:rPr>
        <w:tab/>
      </w: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895" w:right="1440" w:bottom="1440" w:gutter="0" w:footer="0" w:header="0"/>
          <w:type w:val="continuous"/>
        </w:sectPr>
      </w:pPr>
    </w:p>
    <w:p>
      <w:pPr>
        <w:spacing w:after="0" w:line="7" w:lineRule="exact"/>
        <w:rPr>
          <w:sz w:val="20"/>
          <w:szCs w:val="20"/>
          <w:color w:val="auto"/>
        </w:rPr>
      </w:pPr>
    </w:p>
    <w:tbl>
      <w:tblPr>
        <w:tblLayout w:type="fixed"/>
        <w:tblInd w:w="2620" w:type="dxa"/>
        <w:tblCellMar>
          <w:top w:w="0" w:type="dxa"/>
          <w:left w:w="0" w:type="dxa"/>
          <w:bottom w:w="0" w:type="dxa"/>
          <w:right w:w="0" w:type="dxa"/>
        </w:tblCellMar>
      </w:tblPr>
      <w:tr>
        <w:trPr>
          <w:trHeight w:val="253"/>
        </w:trPr>
        <w:tc>
          <w:tcPr>
            <w:tcW w:w="358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which may be decreased</w:t>
            </w: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by the Schedule of</w:t>
            </w:r>
          </w:p>
        </w:tc>
        <w:tc>
          <w:tcPr>
            <w:tcW w:w="0" w:type="dxa"/>
            <w:vAlign w:val="bottom"/>
          </w:tcPr>
          <w:p>
            <w:pPr>
              <w:spacing w:after="0"/>
              <w:rPr>
                <w:sz w:val="1"/>
                <w:szCs w:val="1"/>
                <w:color w:val="auto"/>
              </w:rPr>
            </w:pPr>
          </w:p>
        </w:tc>
      </w:tr>
      <w:tr>
        <w:trPr>
          <w:trHeight w:val="257"/>
        </w:trPr>
        <w:tc>
          <w:tcPr>
            <w:tcW w:w="3580" w:type="dxa"/>
            <w:vAlign w:val="bottom"/>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7"/>
              </w:rPr>
              <w:t>WASTE MANAGEMENT, INC.</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Exchanges of Definitive</w:t>
            </w:r>
          </w:p>
        </w:tc>
        <w:tc>
          <w:tcPr>
            <w:tcW w:w="0" w:type="dxa"/>
            <w:vAlign w:val="bottom"/>
          </w:tcPr>
          <w:p>
            <w:pPr>
              <w:spacing w:after="0"/>
              <w:rPr>
                <w:sz w:val="1"/>
                <w:szCs w:val="1"/>
                <w:color w:val="auto"/>
              </w:rPr>
            </w:pPr>
          </w:p>
        </w:tc>
      </w:tr>
      <w:tr>
        <w:trPr>
          <w:trHeight w:val="201"/>
        </w:trPr>
        <w:tc>
          <w:tcPr>
            <w:tcW w:w="3580" w:type="dxa"/>
            <w:vAlign w:val="bottom"/>
            <w:vMerge w:val="continue"/>
          </w:tcPr>
          <w:p>
            <w:pPr>
              <w:spacing w:after="0"/>
              <w:rPr>
                <w:sz w:val="17"/>
                <w:szCs w:val="17"/>
                <w:color w:val="auto"/>
              </w:rPr>
            </w:pPr>
          </w:p>
        </w:tc>
        <w:tc>
          <w:tcPr>
            <w:tcW w:w="2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Security attached hereto</w:t>
            </w:r>
          </w:p>
        </w:tc>
        <w:tc>
          <w:tcPr>
            <w:tcW w:w="0" w:type="dxa"/>
            <w:vAlign w:val="bottom"/>
          </w:tcPr>
          <w:p>
            <w:pPr>
              <w:spacing w:after="0"/>
              <w:rPr>
                <w:sz w:val="1"/>
                <w:szCs w:val="1"/>
                <w:color w:val="auto"/>
              </w:rPr>
            </w:pPr>
          </w:p>
        </w:tc>
      </w:tr>
      <w:tr>
        <w:trPr>
          <w:trHeight w:val="81"/>
        </w:trPr>
        <w:tc>
          <w:tcPr>
            <w:tcW w:w="358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3"/>
        </w:trPr>
        <w:tc>
          <w:tcPr>
            <w:tcW w:w="3580" w:type="dxa"/>
            <w:vAlign w:val="bottom"/>
          </w:tcPr>
          <w:p>
            <w:pPr>
              <w:jc w:val="center"/>
              <w:ind w:right="232"/>
              <w:spacing w:after="0"/>
              <w:rPr>
                <w:sz w:val="20"/>
                <w:szCs w:val="20"/>
                <w:color w:val="auto"/>
              </w:rPr>
            </w:pPr>
            <w:r>
              <w:rPr>
                <w:rFonts w:ascii="Times New Roman" w:cs="Times New Roman" w:eastAsia="Times New Roman" w:hAnsi="Times New Roman"/>
                <w:sz w:val="22"/>
                <w:szCs w:val="22"/>
                <w:color w:val="auto"/>
                <w:w w:val="98"/>
              </w:rPr>
              <w:t>4.500% SENIOR NOTES DUE 2028</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5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CUSIP 94106L CB3</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left="200" w:right="219" w:firstLine="667"/>
        <w:spacing w:after="0" w:line="262" w:lineRule="auto"/>
        <w:rPr>
          <w:sz w:val="20"/>
          <w:szCs w:val="20"/>
          <w:color w:val="auto"/>
        </w:rPr>
      </w:pPr>
      <w:r>
        <w:rPr>
          <w:rFonts w:ascii="Times New Roman" w:cs="Times New Roman" w:eastAsia="Times New Roman" w:hAnsi="Times New Roman"/>
          <w:sz w:val="21"/>
          <w:szCs w:val="21"/>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w:t>
      </w:r>
    </w:p>
    <w:p>
      <w:pPr>
        <w:spacing w:after="0" w:line="3"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principal sum of Million ($ ) U.S. dollars, or such lesser principal sum as is shown on the attached Schedule of Exchanges of Definitive Security, on March 15, 2028 in such coin or currency of the United States of America as at the time of payment shall be legal tender for the payment of public and private debts, and to pay interest at an annual rate of 4.500% payable on March 15 and September 15 of each year, to the person in whose name this Security is registered at the close of business on the record date for such interest, which shall be the preceding March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488315</wp:posOffset>
            </wp:positionV>
            <wp:extent cx="545211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162" w:name="page163"/>
    <w:bookmarkEnd w:id="162"/>
    <w:p>
      <w:pPr>
        <w:jc w:val="both"/>
        <w:ind w:left="200" w:right="219"/>
        <w:spacing w:after="0" w:line="271" w:lineRule="auto"/>
        <w:rPr>
          <w:sz w:val="20"/>
          <w:szCs w:val="20"/>
          <w:color w:val="auto"/>
        </w:rPr>
      </w:pPr>
      <w:r>
        <w:rPr>
          <w:rFonts w:ascii="Times New Roman" w:cs="Times New Roman" w:eastAsia="Times New Roman" w:hAnsi="Times New Roman"/>
          <w:sz w:val="22"/>
          <w:szCs w:val="22"/>
          <w:color w:val="auto"/>
        </w:rPr>
        <w:t>or September 1, respectively, payable commencing March 15, 2025, with interest accruing from November 4, 2024, or the most recent date to which interest has been paid.</w:t>
      </w:r>
    </w:p>
    <w:p>
      <w:pPr>
        <w:spacing w:after="0" w:line="171"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Reference is made to the further provisions of this Security set forth on the reverse hereof. Such further provisions shall for all purposes have the same effect as though fully set forth at this place.</w:t>
      </w:r>
    </w:p>
    <w:p>
      <w:pPr>
        <w:spacing w:after="0" w:line="173"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73"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This Security is issued in respect of a series of Securities of an initial aggregate of U.S. $1,000,000,000 in principal amount designated as the 4.500% Senior Notes due 2028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91"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79" w:lineRule="exact"/>
        <w:rPr>
          <w:sz w:val="20"/>
          <w:szCs w:val="20"/>
          <w:color w:val="auto"/>
        </w:rPr>
      </w:pPr>
    </w:p>
    <w:p>
      <w:pPr>
        <w:jc w:val="both"/>
        <w:ind w:left="200" w:right="239" w:firstLine="667"/>
        <w:spacing w:after="0" w:line="271" w:lineRule="auto"/>
        <w:rPr>
          <w:sz w:val="20"/>
          <w:szCs w:val="20"/>
          <w:color w:val="auto"/>
        </w:rPr>
      </w:pPr>
      <w:r>
        <w:rPr>
          <w:rFonts w:ascii="Times New Roman" w:cs="Times New Roman" w:eastAsia="Times New Roman" w:hAnsi="Times New Roman"/>
          <w:sz w:val="22"/>
          <w:szCs w:val="22"/>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606425</wp:posOffset>
            </wp:positionV>
            <wp:extent cx="545211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3" w:name="page164"/>
    <w:bookmarkEnd w:id="163"/>
    <w:p>
      <w:pPr>
        <w:ind w:left="200" w:right="239" w:firstLine="667"/>
        <w:spacing w:after="0" w:line="271" w:lineRule="auto"/>
        <w:rPr>
          <w:sz w:val="20"/>
          <w:szCs w:val="20"/>
          <w:color w:val="auto"/>
        </w:rPr>
      </w:pPr>
      <w:r>
        <w:rPr>
          <w:rFonts w:ascii="Times New Roman" w:cs="Times New Roman" w:eastAsia="Times New Roman" w:hAnsi="Times New Roman"/>
          <w:sz w:val="22"/>
          <w:szCs w:val="22"/>
          <w:color w:val="auto"/>
        </w:rPr>
        <w:t>This Security shall not be valid or become obligatory for any purpose until the Certificate of Authentication hereon shall have been manually signed by the Trustee under the Indenture.</w:t>
      </w:r>
    </w:p>
    <w:p>
      <w:pPr>
        <w:spacing w:after="0" w:line="171"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instrument to be duly executed under its corporate seal.</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Dated:</w:t>
            </w: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WASTE MANAGEMENT, INC.,</w:t>
            </w:r>
          </w:p>
        </w:tc>
      </w:tr>
      <w:tr>
        <w:trPr>
          <w:trHeight w:val="282"/>
        </w:trPr>
        <w:tc>
          <w:tcPr>
            <w:tcW w:w="2420" w:type="dxa"/>
            <w:vAlign w:val="bottom"/>
          </w:tcPr>
          <w:p>
            <w:pPr>
              <w:spacing w:after="0"/>
              <w:rPr>
                <w:sz w:val="24"/>
                <w:szCs w:val="24"/>
                <w:color w:val="auto"/>
              </w:rPr>
            </w:pP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a Delaware corporation</w:t>
            </w:r>
          </w:p>
        </w:tc>
      </w:tr>
      <w:tr>
        <w:trPr>
          <w:trHeight w:val="461"/>
        </w:trPr>
        <w:tc>
          <w:tcPr>
            <w:tcW w:w="2420" w:type="dxa"/>
            <w:vAlign w:val="bottom"/>
          </w:tcPr>
          <w:p>
            <w:pPr>
              <w:spacing w:after="0"/>
              <w:rPr>
                <w:sz w:val="24"/>
                <w:szCs w:val="24"/>
                <w:color w:val="auto"/>
              </w:rPr>
            </w:pPr>
          </w:p>
        </w:tc>
        <w:tc>
          <w:tcPr>
            <w:tcW w:w="238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By:</w:t>
            </w:r>
          </w:p>
        </w:tc>
        <w:tc>
          <w:tcPr>
            <w:tcW w:w="2480" w:type="dxa"/>
            <w:vAlign w:val="bottom"/>
            <w:tcBorders>
              <w:bottom w:val="single" w:sz="8" w:color="auto"/>
            </w:tcBorders>
            <w:gridSpan w:val="3"/>
          </w:tcPr>
          <w:p>
            <w:pPr>
              <w:spacing w:after="0"/>
              <w:rPr>
                <w:sz w:val="24"/>
                <w:szCs w:val="24"/>
                <w:color w:val="auto"/>
              </w:rPr>
            </w:pPr>
          </w:p>
        </w:tc>
        <w:tc>
          <w:tcPr>
            <w:tcW w:w="940" w:type="dxa"/>
            <w:vAlign w:val="bottom"/>
          </w:tcPr>
          <w:p>
            <w:pPr>
              <w:spacing w:after="0"/>
              <w:rPr>
                <w:sz w:val="24"/>
                <w:szCs w:val="24"/>
                <w:color w:val="auto"/>
              </w:rPr>
            </w:pPr>
          </w:p>
        </w:tc>
      </w:tr>
      <w:tr>
        <w:trPr>
          <w:trHeight w:val="263"/>
        </w:trPr>
        <w:tc>
          <w:tcPr>
            <w:tcW w:w="2420" w:type="dxa"/>
            <w:vAlign w:val="bottom"/>
          </w:tcPr>
          <w:p>
            <w:pPr>
              <w:spacing w:after="0"/>
              <w:rPr>
                <w:sz w:val="22"/>
                <w:szCs w:val="22"/>
                <w:color w:val="auto"/>
              </w:rPr>
            </w:pPr>
          </w:p>
        </w:tc>
        <w:tc>
          <w:tcPr>
            <w:tcW w:w="5800" w:type="dxa"/>
            <w:vAlign w:val="bottom"/>
            <w:gridSpan w:val="5"/>
          </w:tcPr>
          <w:p>
            <w:pPr>
              <w:ind w:left="2380"/>
              <w:spacing w:after="0"/>
              <w:rPr>
                <w:sz w:val="20"/>
                <w:szCs w:val="20"/>
                <w:color w:val="auto"/>
              </w:rPr>
            </w:pPr>
            <w:r>
              <w:rPr>
                <w:rFonts w:ascii="Times New Roman" w:cs="Times New Roman" w:eastAsia="Times New Roman" w:hAnsi="Times New Roman"/>
                <w:sz w:val="22"/>
                <w:szCs w:val="22"/>
                <w:color w:val="auto"/>
              </w:rPr>
              <w:t>Leslie K. Nagy</w:t>
            </w:r>
          </w:p>
        </w:tc>
      </w:tr>
      <w:tr>
        <w:trPr>
          <w:trHeight w:val="282"/>
        </w:trPr>
        <w:tc>
          <w:tcPr>
            <w:tcW w:w="2420" w:type="dxa"/>
            <w:vAlign w:val="bottom"/>
          </w:tcPr>
          <w:p>
            <w:pPr>
              <w:spacing w:after="0"/>
              <w:rPr>
                <w:sz w:val="24"/>
                <w:szCs w:val="24"/>
                <w:color w:val="auto"/>
              </w:rPr>
            </w:pPr>
          </w:p>
        </w:tc>
        <w:tc>
          <w:tcPr>
            <w:tcW w:w="5800" w:type="dxa"/>
            <w:vAlign w:val="bottom"/>
            <w:gridSpan w:val="5"/>
          </w:tcPr>
          <w:p>
            <w:pPr>
              <w:ind w:left="2380"/>
              <w:spacing w:after="0"/>
              <w:rPr>
                <w:sz w:val="20"/>
                <w:szCs w:val="20"/>
                <w:color w:val="auto"/>
              </w:rPr>
            </w:pPr>
            <w:r>
              <w:rPr>
                <w:rFonts w:ascii="Times New Roman" w:cs="Times New Roman" w:eastAsia="Times New Roman" w:hAnsi="Times New Roman"/>
                <w:sz w:val="22"/>
                <w:szCs w:val="22"/>
                <w:color w:val="auto"/>
              </w:rPr>
              <w:t>Vice President and Treasurer</w:t>
            </w:r>
          </w:p>
        </w:tc>
      </w:tr>
      <w:tr>
        <w:trPr>
          <w:trHeight w:val="769"/>
        </w:trPr>
        <w:tc>
          <w:tcPr>
            <w:tcW w:w="2420" w:type="dxa"/>
            <w:vAlign w:val="bottom"/>
          </w:tcPr>
          <w:p>
            <w:pPr>
              <w:spacing w:after="0"/>
              <w:rPr>
                <w:sz w:val="24"/>
                <w:szCs w:val="24"/>
                <w:color w:val="auto"/>
              </w:rPr>
            </w:pP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Attest:</w:t>
            </w:r>
          </w:p>
        </w:tc>
      </w:tr>
      <w:tr>
        <w:trPr>
          <w:trHeight w:val="461"/>
        </w:trPr>
        <w:tc>
          <w:tcPr>
            <w:tcW w:w="2420" w:type="dxa"/>
            <w:vAlign w:val="bottom"/>
          </w:tcPr>
          <w:p>
            <w:pPr>
              <w:spacing w:after="0"/>
              <w:rPr>
                <w:sz w:val="24"/>
                <w:szCs w:val="24"/>
                <w:color w:val="auto"/>
              </w:rPr>
            </w:pPr>
          </w:p>
        </w:tc>
        <w:tc>
          <w:tcPr>
            <w:tcW w:w="2400" w:type="dxa"/>
            <w:vAlign w:val="bottom"/>
            <w:gridSpan w:val="2"/>
          </w:tcPr>
          <w:p>
            <w:pPr>
              <w:ind w:left="1820"/>
              <w:spacing w:after="0"/>
              <w:rPr>
                <w:sz w:val="20"/>
                <w:szCs w:val="20"/>
                <w:color w:val="auto"/>
              </w:rPr>
            </w:pPr>
            <w:r>
              <w:rPr>
                <w:rFonts w:ascii="Times New Roman" w:cs="Times New Roman" w:eastAsia="Times New Roman" w:hAnsi="Times New Roman"/>
                <w:sz w:val="22"/>
                <w:szCs w:val="22"/>
                <w:color w:val="auto"/>
              </w:rPr>
              <w:t>By:</w:t>
            </w:r>
          </w:p>
        </w:tc>
        <w:tc>
          <w:tcPr>
            <w:tcW w:w="2440" w:type="dxa"/>
            <w:vAlign w:val="bottom"/>
            <w:tcBorders>
              <w:bottom w:val="single" w:sz="8" w:color="auto"/>
            </w:tcBorders>
          </w:tcPr>
          <w:p>
            <w:pPr>
              <w:spacing w:after="0"/>
              <w:rPr>
                <w:sz w:val="24"/>
                <w:szCs w:val="24"/>
                <w:color w:val="auto"/>
              </w:rPr>
            </w:pPr>
          </w:p>
        </w:tc>
        <w:tc>
          <w:tcPr>
            <w:tcW w:w="960" w:type="dxa"/>
            <w:vAlign w:val="bottom"/>
            <w:gridSpan w:val="2"/>
          </w:tcPr>
          <w:p>
            <w:pPr>
              <w:spacing w:after="0"/>
              <w:rPr>
                <w:sz w:val="24"/>
                <w:szCs w:val="24"/>
                <w:color w:val="auto"/>
              </w:rPr>
            </w:pPr>
          </w:p>
        </w:tc>
      </w:tr>
      <w:tr>
        <w:trPr>
          <w:trHeight w:val="263"/>
        </w:trPr>
        <w:tc>
          <w:tcPr>
            <w:tcW w:w="2420" w:type="dxa"/>
            <w:vAlign w:val="bottom"/>
          </w:tcPr>
          <w:p>
            <w:pPr>
              <w:spacing w:after="0"/>
              <w:rPr>
                <w:sz w:val="22"/>
                <w:szCs w:val="22"/>
                <w:color w:val="auto"/>
              </w:rPr>
            </w:pPr>
          </w:p>
        </w:tc>
        <w:tc>
          <w:tcPr>
            <w:tcW w:w="5800" w:type="dxa"/>
            <w:vAlign w:val="bottom"/>
            <w:gridSpan w:val="5"/>
          </w:tcPr>
          <w:p>
            <w:pPr>
              <w:ind w:left="2380"/>
              <w:spacing w:after="0"/>
              <w:rPr>
                <w:sz w:val="20"/>
                <w:szCs w:val="20"/>
                <w:color w:val="auto"/>
              </w:rPr>
            </w:pPr>
            <w:r>
              <w:rPr>
                <w:rFonts w:ascii="Times New Roman" w:cs="Times New Roman" w:eastAsia="Times New Roman" w:hAnsi="Times New Roman"/>
                <w:sz w:val="22"/>
                <w:szCs w:val="22"/>
                <w:color w:val="auto"/>
              </w:rPr>
              <w:t>Courtney A. Tippy</w:t>
            </w:r>
          </w:p>
        </w:tc>
      </w:tr>
      <w:tr>
        <w:trPr>
          <w:trHeight w:val="282"/>
        </w:trPr>
        <w:tc>
          <w:tcPr>
            <w:tcW w:w="2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2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7"/>
              </w:rPr>
              <w:t>Vice President and Corporate Secretary</w:t>
            </w:r>
          </w:p>
        </w:tc>
      </w:tr>
    </w:tbl>
    <w:p>
      <w:pPr>
        <w:spacing w:after="0" w:line="200" w:lineRule="exact"/>
        <w:rPr>
          <w:sz w:val="20"/>
          <w:szCs w:val="20"/>
          <w:color w:val="auto"/>
        </w:rPr>
      </w:pP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CERTIFICATE OF AUTHENTICATION</w:t>
      </w:r>
    </w:p>
    <w:p>
      <w:pPr>
        <w:spacing w:after="0" w:line="220"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is one of the Securities of the series designated therein referred to in the within-mentioned Indenture.</w:t>
      </w:r>
    </w:p>
    <w:p>
      <w:pPr>
        <w:spacing w:after="0" w:line="158" w:lineRule="exact"/>
        <w:rPr>
          <w:sz w:val="20"/>
          <w:szCs w:val="20"/>
          <w:color w:val="auto"/>
        </w:rPr>
      </w:pPr>
    </w:p>
    <w:tbl>
      <w:tblPr>
        <w:tblLayout w:type="fixed"/>
        <w:tblInd w:w="220" w:type="dxa"/>
        <w:tblCellMar>
          <w:top w:w="0" w:type="dxa"/>
          <w:left w:w="0" w:type="dxa"/>
          <w:bottom w:w="0" w:type="dxa"/>
          <w:right w:w="0" w:type="dxa"/>
        </w:tblCellMar>
      </w:tblPr>
      <w:tr>
        <w:trPr>
          <w:trHeight w:val="257"/>
        </w:trPr>
        <w:tc>
          <w:tcPr>
            <w:tcW w:w="32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Date of Authentication:</w:t>
            </w:r>
          </w:p>
        </w:tc>
        <w:tc>
          <w:tcPr>
            <w:tcW w:w="536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w w:val="99"/>
              </w:rPr>
              <w:t>The Bank of New York Mellon Trust Company,</w:t>
            </w:r>
          </w:p>
        </w:tc>
      </w:tr>
      <w:tr>
        <w:trPr>
          <w:trHeight w:val="282"/>
        </w:trPr>
        <w:tc>
          <w:tcPr>
            <w:tcW w:w="3220" w:type="dxa"/>
            <w:vAlign w:val="bottom"/>
          </w:tcPr>
          <w:p>
            <w:pPr>
              <w:spacing w:after="0"/>
              <w:rPr>
                <w:sz w:val="24"/>
                <w:szCs w:val="24"/>
                <w:color w:val="auto"/>
              </w:rPr>
            </w:pPr>
          </w:p>
        </w:tc>
        <w:tc>
          <w:tcPr>
            <w:tcW w:w="536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rPr>
              <w:t>N.A., as Trustee</w:t>
            </w:r>
          </w:p>
        </w:tc>
      </w:tr>
      <w:tr>
        <w:trPr>
          <w:trHeight w:val="460"/>
        </w:trPr>
        <w:tc>
          <w:tcPr>
            <w:tcW w:w="3220" w:type="dxa"/>
            <w:vAlign w:val="bottom"/>
          </w:tcPr>
          <w:p>
            <w:pPr>
              <w:spacing w:after="0"/>
              <w:rPr>
                <w:sz w:val="24"/>
                <w:szCs w:val="24"/>
                <w:color w:val="auto"/>
              </w:rPr>
            </w:pPr>
          </w:p>
        </w:tc>
        <w:tc>
          <w:tcPr>
            <w:tcW w:w="536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rPr>
              <w:t>By: ​</w:t>
            </w:r>
          </w:p>
        </w:tc>
      </w:tr>
      <w:tr>
        <w:trPr>
          <w:trHeight w:val="289"/>
        </w:trPr>
        <w:tc>
          <w:tcPr>
            <w:tcW w:w="3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5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Authorized Officer</w:t>
            </w:r>
          </w:p>
        </w:tc>
        <w:tc>
          <w:tcPr>
            <w:tcW w:w="320" w:type="dxa"/>
            <w:vAlign w:val="bottom"/>
          </w:tcPr>
          <w:p>
            <w:pPr>
              <w:spacing w:after="0"/>
              <w:rPr>
                <w:sz w:val="24"/>
                <w:szCs w:val="24"/>
                <w:color w:val="auto"/>
              </w:rPr>
            </w:pPr>
          </w:p>
        </w:tc>
      </w:tr>
      <w:tr>
        <w:trPr>
          <w:trHeight w:val="1426"/>
        </w:trPr>
        <w:tc>
          <w:tcPr>
            <w:tcW w:w="3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164" w:name="page165"/>
    <w:bookmarkEnd w:id="164"/>
    <w:p>
      <w:pPr>
        <w:jc w:val="center"/>
        <w:ind w:right="19"/>
        <w:spacing w:after="0"/>
        <w:rPr>
          <w:sz w:val="20"/>
          <w:szCs w:val="20"/>
          <w:color w:val="auto"/>
        </w:rPr>
      </w:pPr>
      <w:r>
        <w:rPr>
          <w:rFonts w:ascii="Times New Roman" w:cs="Times New Roman" w:eastAsia="Times New Roman" w:hAnsi="Times New Roman"/>
          <w:sz w:val="20"/>
          <w:szCs w:val="20"/>
          <w:color w:val="auto"/>
        </w:rPr>
        <w:t>REVERSE OF BOOK-ENTRY SECURITY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WASTE MANAGEMENT, INC.</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4.500% SENIOR NOTES DUE 2028</w:t>
      </w:r>
    </w:p>
    <w:p>
      <w:pPr>
        <w:spacing w:after="0" w:line="200" w:lineRule="exact"/>
        <w:rPr>
          <w:sz w:val="20"/>
          <w:szCs w:val="20"/>
          <w:color w:val="auto"/>
        </w:rPr>
      </w:pPr>
    </w:p>
    <w:p>
      <w:pPr>
        <w:spacing w:after="0" w:line="362"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4.500% Senior Notes due 2028 of the Company, in initial aggregate principal amount of $1,000,000,000 (the “Securities”).</w:t>
      </w:r>
    </w:p>
    <w:p>
      <w:pPr>
        <w:spacing w:after="0" w:line="181" w:lineRule="exact"/>
        <w:rPr>
          <w:sz w:val="20"/>
          <w:szCs w:val="20"/>
          <w:color w:val="auto"/>
        </w:rPr>
      </w:pPr>
    </w:p>
    <w:p>
      <w:pPr>
        <w:ind w:left="1500" w:hanging="643"/>
        <w:spacing w:after="0"/>
        <w:tabs>
          <w:tab w:leader="none" w:pos="15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Interest.</w:t>
      </w:r>
    </w:p>
    <w:p>
      <w:pPr>
        <w:spacing w:after="0" w:line="224"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The Company promises to pay interest on the principal amount of this Security at the rate of 4.500% per annum.</w:t>
      </w:r>
    </w:p>
    <w:p>
      <w:pPr>
        <w:spacing w:after="0" w:line="158"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The Company will pay interest semi-annually on March 15 and September 15 of each year (each an “Interest Payment Date”), commencing March 15, 2025. Interest on the Securities will accrue from the most recent date to which interest has been paid or, if no interest has been paid on the Securities, from November 4, 2024.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4.500% per annum, in each case to the extent lawful.</w:t>
      </w:r>
    </w:p>
    <w:p>
      <w:pPr>
        <w:spacing w:after="0" w:line="187" w:lineRule="exact"/>
        <w:rPr>
          <w:sz w:val="20"/>
          <w:szCs w:val="20"/>
          <w:color w:val="auto"/>
        </w:rPr>
      </w:pPr>
    </w:p>
    <w:p>
      <w:pPr>
        <w:ind w:left="1500" w:hanging="643"/>
        <w:spacing w:after="0"/>
        <w:tabs>
          <w:tab w:leader="none" w:pos="15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Method of Payment.</w:t>
      </w:r>
    </w:p>
    <w:p>
      <w:pPr>
        <w:spacing w:after="0" w:line="224" w:lineRule="exact"/>
        <w:rPr>
          <w:sz w:val="20"/>
          <w:szCs w:val="20"/>
          <w:color w:val="auto"/>
        </w:rPr>
      </w:pPr>
    </w:p>
    <w:p>
      <w:pPr>
        <w:jc w:val="both"/>
        <w:ind w:left="200" w:right="219" w:firstLine="667"/>
        <w:spacing w:after="0" w:line="260" w:lineRule="auto"/>
        <w:rPr>
          <w:sz w:val="20"/>
          <w:szCs w:val="20"/>
          <w:color w:val="auto"/>
        </w:rPr>
      </w:pPr>
      <w:r>
        <w:rPr>
          <w:rFonts w:ascii="Times New Roman" w:cs="Times New Roman" w:eastAsia="Times New Roman" w:hAnsi="Times New Roman"/>
          <w:sz w:val="21"/>
          <w:szCs w:val="21"/>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473710</wp:posOffset>
            </wp:positionV>
            <wp:extent cx="545211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65" w:name="page166"/>
    <w:bookmarkEnd w:id="165"/>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181" w:lineRule="exact"/>
        <w:rPr>
          <w:sz w:val="20"/>
          <w:szCs w:val="20"/>
          <w:color w:val="auto"/>
        </w:rPr>
      </w:pPr>
    </w:p>
    <w:p>
      <w:pPr>
        <w:ind w:left="1500" w:hanging="643"/>
        <w:spacing w:after="0"/>
        <w:tabs>
          <w:tab w:leader="none" w:pos="15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Paying Agent and Registrar.</w:t>
      </w:r>
    </w:p>
    <w:p>
      <w:pPr>
        <w:spacing w:after="0" w:line="224"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5" w:lineRule="exact"/>
        <w:rPr>
          <w:sz w:val="20"/>
          <w:szCs w:val="20"/>
          <w:color w:val="auto"/>
        </w:rPr>
      </w:pPr>
    </w:p>
    <w:p>
      <w:pPr>
        <w:ind w:left="1500" w:hanging="643"/>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Indenture.</w:t>
      </w:r>
    </w:p>
    <w:p>
      <w:pPr>
        <w:spacing w:after="0" w:line="224"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Security is one of a duly authorized issue of Debt Securities of the Company issued and to be issued in one or more series under the Indenture.</w:t>
      </w:r>
    </w:p>
    <w:p>
      <w:pPr>
        <w:spacing w:after="0" w:line="158" w:lineRule="exact"/>
        <w:rPr>
          <w:sz w:val="20"/>
          <w:szCs w:val="20"/>
          <w:color w:val="auto"/>
        </w:rPr>
      </w:pPr>
    </w:p>
    <w:p>
      <w:pPr>
        <w:jc w:val="both"/>
        <w:ind w:left="200" w:right="219" w:firstLine="667"/>
        <w:spacing w:after="0" w:line="245" w:lineRule="auto"/>
        <w:rPr>
          <w:sz w:val="20"/>
          <w:szCs w:val="20"/>
          <w:color w:val="auto"/>
        </w:rPr>
      </w:pPr>
      <w:r>
        <w:rPr>
          <w:rFonts w:ascii="Times New Roman" w:cs="Times New Roman" w:eastAsia="Times New Roman" w:hAnsi="Times New Roman"/>
          <w:sz w:val="22"/>
          <w:szCs w:val="22"/>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August 21, 2023, August 26, 2024 and October 3, 2024 (the “Resolutions”) and the written consent of the Sole Director of Waste Management Holdings, Inc. on October 3, 2024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$1,000,000,000.</w:t>
      </w:r>
    </w:p>
    <w:p>
      <w:pPr>
        <w:spacing w:after="0" w:line="191" w:lineRule="exact"/>
        <w:rPr>
          <w:sz w:val="20"/>
          <w:szCs w:val="20"/>
          <w:color w:val="auto"/>
        </w:rPr>
      </w:pPr>
    </w:p>
    <w:p>
      <w:pPr>
        <w:ind w:left="1500" w:hanging="643"/>
        <w:spacing w:after="0"/>
        <w:tabs>
          <w:tab w:leader="none" w:pos="15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w:t>
      </w:r>
    </w:p>
    <w:p>
      <w:pPr>
        <w:spacing w:after="0" w:line="224"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Prior to the Par Call Date, the Company may redeem the Securities at its option, in whole or in part, at any time and from time to time, at a Redemption Price (expressed as a percentage of principal amount and rounded to three decimal places) equal to the greater of:</w:t>
      </w:r>
    </w:p>
    <w:p>
      <w:pPr>
        <w:spacing w:after="0" w:line="173" w:lineRule="exact"/>
        <w:rPr>
          <w:sz w:val="20"/>
          <w:szCs w:val="20"/>
          <w:color w:val="auto"/>
        </w:rPr>
      </w:pPr>
    </w:p>
    <w:p>
      <w:pPr>
        <w:jc w:val="both"/>
        <w:ind w:left="860" w:right="219" w:firstLine="15"/>
        <w:spacing w:after="0" w:line="253" w:lineRule="auto"/>
        <w:tabs>
          <w:tab w:leader="none" w:pos="119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10 basis points, less (b) interest accrued to the Redemption Date, and</w:t>
      </w:r>
    </w:p>
    <w:p>
      <w:pPr>
        <w:spacing w:after="0" w:line="178" w:lineRule="exact"/>
        <w:rPr>
          <w:rFonts w:ascii="Times New Roman" w:cs="Times New Roman" w:eastAsia="Times New Roman" w:hAnsi="Times New Roman"/>
          <w:sz w:val="22"/>
          <w:szCs w:val="22"/>
          <w:color w:val="auto"/>
        </w:rPr>
      </w:pPr>
    </w:p>
    <w:p>
      <w:pPr>
        <w:ind w:left="1180" w:hanging="305"/>
        <w:spacing w:after="0"/>
        <w:tabs>
          <w:tab w:leader="none" w:pos="11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Securities to be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636905</wp:posOffset>
            </wp:positionV>
            <wp:extent cx="545211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6" w:name="page167"/>
    <w:bookmarkEnd w:id="166"/>
    <w:p>
      <w:pPr>
        <w:ind w:left="200"/>
        <w:spacing w:after="0"/>
        <w:rPr>
          <w:sz w:val="20"/>
          <w:szCs w:val="20"/>
          <w:color w:val="auto"/>
        </w:rPr>
      </w:pPr>
      <w:r>
        <w:rPr>
          <w:rFonts w:ascii="Times New Roman" w:cs="Times New Roman" w:eastAsia="Times New Roman" w:hAnsi="Times New Roman"/>
          <w:sz w:val="22"/>
          <w:szCs w:val="22"/>
          <w:color w:val="auto"/>
        </w:rPr>
        <w:t>plus, in either case, accrued and unpaid interest thereon to the Redemption Date.</w:t>
      </w:r>
    </w:p>
    <w:p>
      <w:pPr>
        <w:spacing w:after="0" w:line="220" w:lineRule="exact"/>
        <w:rPr>
          <w:sz w:val="20"/>
          <w:szCs w:val="20"/>
          <w:color w:val="auto"/>
        </w:rPr>
      </w:pPr>
    </w:p>
    <w:p>
      <w:pPr>
        <w:jc w:val="both"/>
        <w:ind w:left="200" w:right="219" w:firstLine="667"/>
        <w:spacing w:after="0" w:line="256" w:lineRule="auto"/>
        <w:rPr>
          <w:sz w:val="20"/>
          <w:szCs w:val="20"/>
          <w:color w:val="auto"/>
        </w:rPr>
      </w:pPr>
      <w:r>
        <w:rPr>
          <w:rFonts w:ascii="Times New Roman" w:cs="Times New Roman" w:eastAsia="Times New Roman" w:hAnsi="Times New Roman"/>
          <w:sz w:val="22"/>
          <w:szCs w:val="22"/>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“Par Call Date” means February 15, 2028.</w:t>
      </w:r>
    </w:p>
    <w:p>
      <w:pPr>
        <w:spacing w:after="0" w:line="220"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“Treasury Rate” means, with respect to any Redemption Date, the yield determined by the Company in accordance with the following two paragraphs.</w:t>
      </w:r>
    </w:p>
    <w:p>
      <w:pPr>
        <w:spacing w:after="0" w:line="158"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1"/>
          <w:szCs w:val="21"/>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4" w:lineRule="exact"/>
        <w:rPr>
          <w:sz w:val="20"/>
          <w:szCs w:val="20"/>
          <w:color w:val="auto"/>
        </w:rPr>
      </w:pPr>
    </w:p>
    <w:p>
      <w:pPr>
        <w:jc w:val="both"/>
        <w:ind w:left="200" w:right="219" w:firstLine="667"/>
        <w:spacing w:after="0" w:line="259" w:lineRule="auto"/>
        <w:rPr>
          <w:sz w:val="20"/>
          <w:szCs w:val="20"/>
          <w:color w:val="auto"/>
        </w:rPr>
      </w:pPr>
      <w:r>
        <w:rPr>
          <w:rFonts w:ascii="Times New Roman" w:cs="Times New Roman" w:eastAsia="Times New Roman" w:hAnsi="Times New Roman"/>
          <w:sz w:val="21"/>
          <w:szCs w:val="21"/>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469900</wp:posOffset>
            </wp:positionV>
            <wp:extent cx="545211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7" w:name="page168"/>
    <w:bookmarkEnd w:id="167"/>
    <w:p>
      <w:pPr>
        <w:jc w:val="both"/>
        <w:ind w:left="200" w:right="219"/>
        <w:spacing w:after="0" w:line="253" w:lineRule="auto"/>
        <w:rPr>
          <w:sz w:val="20"/>
          <w:szCs w:val="20"/>
          <w:color w:val="auto"/>
        </w:rPr>
      </w:pPr>
      <w:r>
        <w:rPr>
          <w:rFonts w:ascii="Times New Roman" w:cs="Times New Roman" w:eastAsia="Times New Roman" w:hAnsi="Times New Roman"/>
          <w:sz w:val="22"/>
          <w:szCs w:val="22"/>
          <w:color w:val="auto"/>
        </w:rPr>
        <w:t>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79" w:lineRule="exact"/>
        <w:rPr>
          <w:sz w:val="20"/>
          <w:szCs w:val="20"/>
          <w:color w:val="auto"/>
        </w:rPr>
      </w:pPr>
    </w:p>
    <w:p>
      <w:pPr>
        <w:jc w:val="both"/>
        <w:ind w:left="200" w:right="219" w:firstLine="667"/>
        <w:spacing w:after="0" w:line="250" w:lineRule="auto"/>
        <w:rPr>
          <w:sz w:val="20"/>
          <w:szCs w:val="20"/>
          <w:color w:val="auto"/>
        </w:rPr>
      </w:pPr>
      <w:r>
        <w:rPr>
          <w:rFonts w:ascii="Times New Roman" w:cs="Times New Roman" w:eastAsia="Times New Roman" w:hAnsi="Times New Roman"/>
          <w:sz w:val="22"/>
          <w:szCs w:val="22"/>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81"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1"/>
          <w:szCs w:val="21"/>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73"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Except as set forth above, the Securities will not be redeemable prior to their Stated Maturity and will not be entitled to the benefit of any sinking fund.</w:t>
      </w:r>
    </w:p>
    <w:p>
      <w:pPr>
        <w:spacing w:after="0" w:line="158"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The Securities may be redeemed in part in a minimum principal amount of $2,000, or any integral multiple of $1,000 in excess thereof.</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Any such redemption will also comply with Article Eleven of the Indenture.</w:t>
      </w:r>
    </w:p>
    <w:p>
      <w:pPr>
        <w:spacing w:after="0" w:line="216" w:lineRule="exact"/>
        <w:rPr>
          <w:sz w:val="20"/>
          <w:szCs w:val="20"/>
          <w:color w:val="auto"/>
        </w:rPr>
      </w:pPr>
    </w:p>
    <w:p>
      <w:pPr>
        <w:ind w:left="1500" w:hanging="643"/>
        <w:spacing w:after="0"/>
        <w:tabs>
          <w:tab w:leader="none" w:pos="15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of Control Offer.</w:t>
      </w:r>
    </w:p>
    <w:p>
      <w:pPr>
        <w:spacing w:after="0" w:line="228"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822325</wp:posOffset>
            </wp:positionV>
            <wp:extent cx="545211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8" w:name="page169"/>
    <w:bookmarkEnd w:id="168"/>
    <w:p>
      <w:pPr>
        <w:jc w:val="both"/>
        <w:ind w:left="200" w:right="219" w:firstLine="648"/>
        <w:spacing w:after="0" w:line="267" w:lineRule="auto"/>
        <w:rPr>
          <w:sz w:val="20"/>
          <w:szCs w:val="20"/>
          <w:color w:val="auto"/>
        </w:rPr>
      </w:pPr>
      <w:r>
        <w:rPr>
          <w:rFonts w:ascii="Times New Roman" w:cs="Times New Roman" w:eastAsia="Times New Roman" w:hAnsi="Times New Roman"/>
          <w:sz w:val="20"/>
          <w:szCs w:val="20"/>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200" w:lineRule="exact"/>
        <w:rPr>
          <w:sz w:val="20"/>
          <w:szCs w:val="20"/>
          <w:color w:val="auto"/>
        </w:rPr>
      </w:pPr>
    </w:p>
    <w:p>
      <w:pPr>
        <w:spacing w:after="0" w:line="3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Upon the Change of Control Payment Date, the Company shall, to the extent lawful:</w:t>
      </w:r>
    </w:p>
    <w:p>
      <w:pPr>
        <w:spacing w:after="0" w:line="200" w:lineRule="exact"/>
        <w:rPr>
          <w:sz w:val="20"/>
          <w:szCs w:val="20"/>
          <w:color w:val="auto"/>
        </w:rPr>
      </w:pPr>
    </w:p>
    <w:p>
      <w:pPr>
        <w:spacing w:after="0" w:line="362" w:lineRule="exact"/>
        <w:rPr>
          <w:sz w:val="20"/>
          <w:szCs w:val="20"/>
          <w:color w:val="auto"/>
        </w:rPr>
      </w:pPr>
    </w:p>
    <w:p>
      <w:pPr>
        <w:ind w:left="1500" w:right="219" w:hanging="643"/>
        <w:spacing w:after="0" w:line="271" w:lineRule="auto"/>
        <w:tabs>
          <w:tab w:leader="none" w:pos="117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accept for payment all Securities or portions of Securities properly tendered and not withdrawn pursuant to the Change of Control Offer;</w:t>
      </w:r>
    </w:p>
    <w:p>
      <w:pPr>
        <w:spacing w:after="0" w:line="157" w:lineRule="exact"/>
        <w:rPr>
          <w:rFonts w:ascii="Times New Roman" w:cs="Times New Roman" w:eastAsia="Times New Roman" w:hAnsi="Times New Roman"/>
          <w:sz w:val="18"/>
          <w:szCs w:val="18"/>
          <w:color w:val="auto"/>
        </w:rPr>
      </w:pPr>
    </w:p>
    <w:p>
      <w:pPr>
        <w:ind w:left="1500" w:right="219" w:hanging="643"/>
        <w:spacing w:after="0" w:line="271" w:lineRule="auto"/>
        <w:tabs>
          <w:tab w:leader="none" w:pos="117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deposit with the Paying Agent an amount equal to the Change of Control Payment in respect of all Securities or portions of Securities properly tendered; and</w:t>
      </w:r>
    </w:p>
    <w:p>
      <w:pPr>
        <w:spacing w:after="0" w:line="157" w:lineRule="exact"/>
        <w:rPr>
          <w:rFonts w:ascii="Times New Roman" w:cs="Times New Roman" w:eastAsia="Times New Roman" w:hAnsi="Times New Roman"/>
          <w:sz w:val="18"/>
          <w:szCs w:val="18"/>
          <w:color w:val="auto"/>
        </w:rPr>
      </w:pPr>
    </w:p>
    <w:p>
      <w:pPr>
        <w:ind w:left="1500" w:right="219" w:hanging="643"/>
        <w:spacing w:after="0" w:line="257" w:lineRule="auto"/>
        <w:tabs>
          <w:tab w:leader="none" w:pos="117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7" w:lineRule="exact"/>
        <w:rPr>
          <w:sz w:val="20"/>
          <w:szCs w:val="20"/>
          <w:color w:val="auto"/>
        </w:rPr>
      </w:pPr>
    </w:p>
    <w:p>
      <w:pPr>
        <w:jc w:val="both"/>
        <w:ind w:left="200" w:right="219" w:firstLine="648"/>
        <w:spacing w:after="0" w:line="270" w:lineRule="auto"/>
        <w:rPr>
          <w:sz w:val="20"/>
          <w:szCs w:val="20"/>
          <w:color w:val="auto"/>
        </w:rPr>
      </w:pPr>
      <w:r>
        <w:rPr>
          <w:rFonts w:ascii="Times New Roman" w:cs="Times New Roman" w:eastAsia="Times New Roman" w:hAnsi="Times New Roman"/>
          <w:sz w:val="20"/>
          <w:szCs w:val="20"/>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200" w:lineRule="exact"/>
        <w:rPr>
          <w:sz w:val="20"/>
          <w:szCs w:val="20"/>
          <w:color w:val="auto"/>
        </w:rPr>
      </w:pPr>
    </w:p>
    <w:p>
      <w:pPr>
        <w:spacing w:after="0" w:line="311" w:lineRule="exact"/>
        <w:rPr>
          <w:sz w:val="20"/>
          <w:szCs w:val="20"/>
          <w:color w:val="auto"/>
        </w:rPr>
      </w:pPr>
    </w:p>
    <w:p>
      <w:pPr>
        <w:jc w:val="both"/>
        <w:ind w:left="200" w:right="219" w:firstLine="648"/>
        <w:spacing w:after="0" w:line="267" w:lineRule="auto"/>
        <w:rPr>
          <w:sz w:val="20"/>
          <w:szCs w:val="20"/>
          <w:color w:val="auto"/>
        </w:rPr>
      </w:pPr>
      <w:r>
        <w:rPr>
          <w:rFonts w:ascii="Times New Roman" w:cs="Times New Roman" w:eastAsia="Times New Roman" w:hAnsi="Times New Roman"/>
          <w:sz w:val="20"/>
          <w:szCs w:val="20"/>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200" w:lineRule="exact"/>
        <w:rPr>
          <w:sz w:val="20"/>
          <w:szCs w:val="20"/>
          <w:color w:val="auto"/>
        </w:rPr>
      </w:pPr>
    </w:p>
    <w:p>
      <w:pPr>
        <w:spacing w:after="0" w:line="318" w:lineRule="exact"/>
        <w:rPr>
          <w:sz w:val="20"/>
          <w:szCs w:val="20"/>
          <w:color w:val="auto"/>
        </w:rPr>
      </w:pPr>
    </w:p>
    <w:p>
      <w:pPr>
        <w:jc w:val="both"/>
        <w:ind w:left="200" w:right="219" w:firstLine="648"/>
        <w:spacing w:after="0" w:line="297" w:lineRule="auto"/>
        <w:rPr>
          <w:sz w:val="20"/>
          <w:szCs w:val="20"/>
          <w:color w:val="auto"/>
        </w:rPr>
      </w:pPr>
      <w:r>
        <w:rPr>
          <w:rFonts w:ascii="Times New Roman" w:cs="Times New Roman" w:eastAsia="Times New Roman" w:hAnsi="Times New Roman"/>
          <w:sz w:val="20"/>
          <w:szCs w:val="20"/>
          <w:color w:val="auto"/>
        </w:rPr>
        <w:t>For purposes of the Change of Control Offer provisions of the Securities, the following terms are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802005</wp:posOffset>
            </wp:positionV>
            <wp:extent cx="545211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69" w:name="page170"/>
    <w:bookmarkEnd w:id="169"/>
    <w:p>
      <w:pPr>
        <w:jc w:val="both"/>
        <w:ind w:left="200" w:right="219" w:firstLine="667"/>
        <w:spacing w:after="0" w:line="245" w:lineRule="auto"/>
        <w:rPr>
          <w:sz w:val="20"/>
          <w:szCs w:val="20"/>
          <w:color w:val="auto"/>
        </w:rPr>
      </w:pPr>
      <w:r>
        <w:rPr>
          <w:rFonts w:ascii="Times New Roman" w:cs="Times New Roman" w:eastAsia="Times New Roman" w:hAnsi="Times New Roman"/>
          <w:sz w:val="22"/>
          <w:szCs w:val="22"/>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96"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1" w:lineRule="exact"/>
        <w:rPr>
          <w:sz w:val="20"/>
          <w:szCs w:val="20"/>
          <w:color w:val="auto"/>
        </w:rPr>
      </w:pPr>
    </w:p>
    <w:p>
      <w:pPr>
        <w:jc w:val="both"/>
        <w:ind w:left="200" w:right="239" w:firstLine="667"/>
        <w:spacing w:after="0" w:line="271" w:lineRule="auto"/>
        <w:rPr>
          <w:sz w:val="20"/>
          <w:szCs w:val="20"/>
          <w:color w:val="auto"/>
        </w:rPr>
      </w:pPr>
      <w:r>
        <w:rPr>
          <w:rFonts w:ascii="Times New Roman" w:cs="Times New Roman" w:eastAsia="Times New Roman" w:hAnsi="Times New Roman"/>
          <w:sz w:val="22"/>
          <w:szCs w:val="22"/>
          <w:color w:val="auto"/>
        </w:rPr>
        <w:t>“Change of Control Triggering Event” means the occurrence of both a Change of Control and a Rating Event.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“Fitch” means Fitch Inc. and its successors.</w:t>
      </w:r>
    </w:p>
    <w:p>
      <w:pPr>
        <w:spacing w:after="0" w:line="220" w:lineRule="exact"/>
        <w:rPr>
          <w:sz w:val="20"/>
          <w:szCs w:val="20"/>
          <w:color w:val="auto"/>
        </w:rPr>
      </w:pPr>
    </w:p>
    <w:p>
      <w:pPr>
        <w:jc w:val="both"/>
        <w:ind w:left="200" w:right="219" w:firstLine="667"/>
        <w:spacing w:after="0" w:line="256" w:lineRule="auto"/>
        <w:rPr>
          <w:sz w:val="20"/>
          <w:szCs w:val="20"/>
          <w:color w:val="auto"/>
        </w:rPr>
      </w:pPr>
      <w:r>
        <w:rPr>
          <w:rFonts w:ascii="Times New Roman" w:cs="Times New Roman" w:eastAsia="Times New Roman" w:hAnsi="Times New Roman"/>
          <w:sz w:val="22"/>
          <w:szCs w:val="22"/>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“Moody’s” means Moody’s Investors Service, Inc. and its successors.</w:t>
      </w:r>
    </w:p>
    <w:p>
      <w:pPr>
        <w:spacing w:after="0" w:line="220"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474345</wp:posOffset>
            </wp:positionV>
            <wp:extent cx="545211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0" w:name="page171"/>
    <w:bookmarkEnd w:id="170"/>
    <w:p>
      <w:pPr>
        <w:jc w:val="both"/>
        <w:ind w:left="200" w:right="219"/>
        <w:spacing w:after="0" w:line="271" w:lineRule="auto"/>
        <w:rPr>
          <w:sz w:val="20"/>
          <w:szCs w:val="20"/>
          <w:color w:val="auto"/>
        </w:rPr>
      </w:pPr>
      <w:r>
        <w:rPr>
          <w:rFonts w:ascii="Times New Roman" w:cs="Times New Roman" w:eastAsia="Times New Roman" w:hAnsi="Times New Roman"/>
          <w:sz w:val="22"/>
          <w:szCs w:val="22"/>
          <w:color w:val="auto"/>
        </w:rPr>
        <w:t>Company (as certified by a resolution of the Board of Directors of the Company) as a replacement agency for Fitch, Moody’s or S&amp;P, or all of them, as the case may be.</w:t>
      </w:r>
    </w:p>
    <w:p>
      <w:pPr>
        <w:spacing w:after="0" w:line="171" w:lineRule="exact"/>
        <w:rPr>
          <w:sz w:val="20"/>
          <w:szCs w:val="20"/>
          <w:color w:val="auto"/>
        </w:rPr>
      </w:pPr>
    </w:p>
    <w:p>
      <w:pPr>
        <w:jc w:val="both"/>
        <w:ind w:left="200" w:right="219" w:firstLine="667"/>
        <w:spacing w:after="0" w:line="248" w:lineRule="auto"/>
        <w:rPr>
          <w:sz w:val="20"/>
          <w:szCs w:val="20"/>
          <w:color w:val="auto"/>
        </w:rPr>
      </w:pPr>
      <w:r>
        <w:rPr>
          <w:rFonts w:ascii="Times New Roman" w:cs="Times New Roman" w:eastAsia="Times New Roman" w:hAnsi="Times New Roman"/>
          <w:sz w:val="22"/>
          <w:szCs w:val="22"/>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“S&amp;P” means S&amp;P Global Ratings, a division of S&amp;P Global Inc., and its successors.</w:t>
      </w:r>
    </w:p>
    <w:p>
      <w:pPr>
        <w:spacing w:after="0" w:line="220"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9" w:lineRule="exact"/>
        <w:rPr>
          <w:sz w:val="20"/>
          <w:szCs w:val="20"/>
          <w:color w:val="auto"/>
        </w:rPr>
      </w:pPr>
    </w:p>
    <w:p>
      <w:pPr>
        <w:ind w:left="1500" w:hanging="643"/>
        <w:spacing w:after="0"/>
        <w:tabs>
          <w:tab w:leader="none" w:pos="15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Denominations; Transfer; Exchange.</w:t>
      </w:r>
    </w:p>
    <w:p>
      <w:pPr>
        <w:spacing w:after="0" w:line="224" w:lineRule="exact"/>
        <w:rPr>
          <w:sz w:val="20"/>
          <w:szCs w:val="20"/>
          <w:color w:val="auto"/>
        </w:rPr>
      </w:pPr>
    </w:p>
    <w:p>
      <w:pPr>
        <w:jc w:val="both"/>
        <w:ind w:left="200" w:right="219" w:firstLine="667"/>
        <w:spacing w:after="0" w:line="250" w:lineRule="auto"/>
        <w:rPr>
          <w:sz w:val="20"/>
          <w:szCs w:val="20"/>
          <w:color w:val="auto"/>
        </w:rPr>
      </w:pPr>
      <w:r>
        <w:rPr>
          <w:rFonts w:ascii="Times New Roman" w:cs="Times New Roman" w:eastAsia="Times New Roman" w:hAnsi="Times New Roman"/>
          <w:sz w:val="22"/>
          <w:szCs w:val="22"/>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77" w:lineRule="exact"/>
        <w:rPr>
          <w:sz w:val="20"/>
          <w:szCs w:val="20"/>
          <w:color w:val="auto"/>
        </w:rPr>
      </w:pPr>
    </w:p>
    <w:p>
      <w:pPr>
        <w:ind w:left="1500" w:hanging="643"/>
        <w:spacing w:after="0"/>
        <w:tabs>
          <w:tab w:leader="none" w:pos="15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Person Deemed Owners.</w:t>
      </w:r>
    </w:p>
    <w:p>
      <w:pPr>
        <w:spacing w:after="0" w:line="2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registered Holder of a Security may be treated as the owner of it for all purposes.</w:t>
      </w:r>
    </w:p>
    <w:p>
      <w:pPr>
        <w:spacing w:after="0" w:line="216" w:lineRule="exact"/>
        <w:rPr>
          <w:sz w:val="20"/>
          <w:szCs w:val="20"/>
          <w:color w:val="auto"/>
        </w:rPr>
      </w:pPr>
    </w:p>
    <w:p>
      <w:pPr>
        <w:ind w:left="1500" w:hanging="643"/>
        <w:spacing w:after="0"/>
        <w:tabs>
          <w:tab w:leader="none" w:pos="15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 Supplement; Waiver.</w:t>
      </w:r>
    </w:p>
    <w:p>
      <w:pPr>
        <w:spacing w:after="0" w:line="224"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1" w:lineRule="exact"/>
        <w:rPr>
          <w:sz w:val="20"/>
          <w:szCs w:val="20"/>
          <w:color w:val="auto"/>
        </w:rPr>
      </w:pPr>
    </w:p>
    <w:p>
      <w:pPr>
        <w:ind w:left="1500" w:hanging="643"/>
        <w:spacing w:after="0"/>
        <w:tabs>
          <w:tab w:leader="none" w:pos="15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Defaults and Remedies.</w:t>
      </w:r>
    </w:p>
    <w:p>
      <w:pPr>
        <w:spacing w:after="0" w:line="237" w:lineRule="exact"/>
        <w:rPr>
          <w:sz w:val="20"/>
          <w:szCs w:val="20"/>
          <w:color w:val="auto"/>
        </w:rPr>
      </w:pPr>
    </w:p>
    <w:p>
      <w:pPr>
        <w:jc w:val="both"/>
        <w:ind w:left="200" w:right="219" w:firstLine="667"/>
        <w:spacing w:after="0" w:line="275" w:lineRule="auto"/>
        <w:rPr>
          <w:sz w:val="20"/>
          <w:szCs w:val="20"/>
          <w:color w:val="auto"/>
        </w:rPr>
      </w:pPr>
      <w:r>
        <w:rPr>
          <w:rFonts w:ascii="Times New Roman" w:cs="Times New Roman" w:eastAsia="Times New Roman" w:hAnsi="Times New Roman"/>
          <w:sz w:val="21"/>
          <w:szCs w:val="21"/>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459105</wp:posOffset>
            </wp:positionV>
            <wp:extent cx="545211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1" w:name="page172"/>
    <w:bookmarkEnd w:id="171"/>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191" w:lineRule="exact"/>
        <w:rPr>
          <w:sz w:val="20"/>
          <w:szCs w:val="20"/>
          <w:color w:val="auto"/>
        </w:rPr>
      </w:pPr>
    </w:p>
    <w:p>
      <w:pPr>
        <w:ind w:left="1500" w:hanging="643"/>
        <w:spacing w:after="0"/>
        <w:tabs>
          <w:tab w:leader="none" w:pos="15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Trustee Dealings with Company.</w:t>
      </w:r>
    </w:p>
    <w:p>
      <w:pPr>
        <w:spacing w:after="0" w:line="224"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75" w:lineRule="exact"/>
        <w:rPr>
          <w:sz w:val="20"/>
          <w:szCs w:val="20"/>
          <w:color w:val="auto"/>
        </w:rPr>
      </w:pPr>
    </w:p>
    <w:p>
      <w:pPr>
        <w:ind w:left="1500" w:hanging="643"/>
        <w:spacing w:after="0"/>
        <w:tabs>
          <w:tab w:leader="none" w:pos="15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Authentication.</w:t>
      </w:r>
    </w:p>
    <w:p>
      <w:pPr>
        <w:spacing w:after="0" w:line="224"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Security shall not be valid until the Trustee or authenticating agent signs the certificate of authentication on the other side of this Security.</w:t>
      </w:r>
    </w:p>
    <w:p>
      <w:pPr>
        <w:spacing w:after="0" w:line="154" w:lineRule="exact"/>
        <w:rPr>
          <w:sz w:val="20"/>
          <w:szCs w:val="20"/>
          <w:color w:val="auto"/>
        </w:rPr>
      </w:pPr>
    </w:p>
    <w:p>
      <w:pPr>
        <w:ind w:left="1500" w:hanging="643"/>
        <w:spacing w:after="0"/>
        <w:tabs>
          <w:tab w:leader="none" w:pos="150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Abbreviations and Defined Terms.</w:t>
      </w:r>
    </w:p>
    <w:p>
      <w:pPr>
        <w:spacing w:after="0" w:line="224"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5" w:lineRule="exact"/>
        <w:rPr>
          <w:sz w:val="20"/>
          <w:szCs w:val="20"/>
          <w:color w:val="auto"/>
        </w:rPr>
      </w:pPr>
    </w:p>
    <w:p>
      <w:pPr>
        <w:ind w:left="1500" w:hanging="643"/>
        <w:spacing w:after="0"/>
        <w:tabs>
          <w:tab w:leader="none" w:pos="150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CUSIP Numbers.</w:t>
      </w:r>
    </w:p>
    <w:p>
      <w:pPr>
        <w:spacing w:after="0" w:line="237" w:lineRule="exact"/>
        <w:rPr>
          <w:sz w:val="20"/>
          <w:szCs w:val="20"/>
          <w:color w:val="auto"/>
        </w:rPr>
      </w:pPr>
    </w:p>
    <w:p>
      <w:pPr>
        <w:jc w:val="both"/>
        <w:ind w:left="200" w:right="219" w:firstLine="667"/>
        <w:spacing w:after="0" w:line="250" w:lineRule="auto"/>
        <w:rPr>
          <w:sz w:val="20"/>
          <w:szCs w:val="20"/>
          <w:color w:val="auto"/>
        </w:rPr>
      </w:pPr>
      <w:r>
        <w:rPr>
          <w:rFonts w:ascii="Times New Roman" w:cs="Times New Roman" w:eastAsia="Times New Roman" w:hAnsi="Times New Roman"/>
          <w:sz w:val="22"/>
          <w:szCs w:val="22"/>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612140</wp:posOffset>
            </wp:positionV>
            <wp:extent cx="545211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2" w:name="page173"/>
    <w:bookmarkEnd w:id="172"/>
    <w:p>
      <w:pPr>
        <w:ind w:left="1500" w:hanging="643"/>
        <w:spacing w:after="0"/>
        <w:tabs>
          <w:tab w:leader="none" w:pos="150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Absolute Obligation.</w:t>
      </w:r>
    </w:p>
    <w:p>
      <w:pPr>
        <w:spacing w:after="0" w:line="224" w:lineRule="exact"/>
        <w:rPr>
          <w:sz w:val="20"/>
          <w:szCs w:val="20"/>
          <w:color w:val="auto"/>
        </w:rPr>
      </w:pPr>
    </w:p>
    <w:p>
      <w:pPr>
        <w:jc w:val="both"/>
        <w:ind w:left="200" w:right="219" w:firstLine="667"/>
        <w:spacing w:after="0" w:line="256" w:lineRule="auto"/>
        <w:rPr>
          <w:sz w:val="20"/>
          <w:szCs w:val="20"/>
          <w:color w:val="auto"/>
        </w:rPr>
      </w:pPr>
      <w:r>
        <w:rPr>
          <w:rFonts w:ascii="Times New Roman" w:cs="Times New Roman" w:eastAsia="Times New Roman" w:hAnsi="Times New Roman"/>
          <w:sz w:val="22"/>
          <w:szCs w:val="22"/>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72" w:lineRule="exact"/>
        <w:rPr>
          <w:sz w:val="20"/>
          <w:szCs w:val="20"/>
          <w:color w:val="auto"/>
        </w:rPr>
      </w:pPr>
    </w:p>
    <w:p>
      <w:pPr>
        <w:ind w:left="1500" w:hanging="643"/>
        <w:spacing w:after="0"/>
        <w:tabs>
          <w:tab w:leader="none" w:pos="15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Recourse.</w:t>
      </w:r>
    </w:p>
    <w:p>
      <w:pPr>
        <w:spacing w:after="0" w:line="224" w:lineRule="exact"/>
        <w:rPr>
          <w:sz w:val="20"/>
          <w:szCs w:val="20"/>
          <w:color w:val="auto"/>
        </w:rPr>
      </w:pPr>
    </w:p>
    <w:p>
      <w:pPr>
        <w:jc w:val="both"/>
        <w:ind w:left="200" w:right="219" w:firstLine="667"/>
        <w:spacing w:after="0" w:line="247" w:lineRule="auto"/>
        <w:rPr>
          <w:sz w:val="20"/>
          <w:szCs w:val="20"/>
          <w:color w:val="auto"/>
        </w:rPr>
      </w:pPr>
      <w:r>
        <w:rPr>
          <w:rFonts w:ascii="Times New Roman" w:cs="Times New Roman" w:eastAsia="Times New Roman" w:hAnsi="Times New Roman"/>
          <w:sz w:val="22"/>
          <w:szCs w:val="22"/>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81" w:lineRule="exact"/>
        <w:rPr>
          <w:sz w:val="20"/>
          <w:szCs w:val="20"/>
          <w:color w:val="auto"/>
        </w:rPr>
      </w:pPr>
    </w:p>
    <w:p>
      <w:pPr>
        <w:ind w:left="1500" w:hanging="643"/>
        <w:spacing w:after="0"/>
        <w:tabs>
          <w:tab w:leader="none" w:pos="15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w:t>
      </w:r>
    </w:p>
    <w:p>
      <w:pPr>
        <w:spacing w:after="0" w:line="224"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Security shall be construed in accordance with and governed by the laws of the State of New York.</w:t>
      </w:r>
    </w:p>
    <w:p>
      <w:pPr>
        <w:spacing w:after="0" w:line="154" w:lineRule="exact"/>
        <w:rPr>
          <w:sz w:val="20"/>
          <w:szCs w:val="20"/>
          <w:color w:val="auto"/>
        </w:rPr>
      </w:pPr>
    </w:p>
    <w:p>
      <w:pPr>
        <w:ind w:left="1500" w:hanging="643"/>
        <w:spacing w:after="0"/>
        <w:tabs>
          <w:tab w:leader="none" w:pos="150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Guarantee.</w:t>
      </w:r>
    </w:p>
    <w:p>
      <w:pPr>
        <w:spacing w:after="0" w:line="224" w:lineRule="exact"/>
        <w:rPr>
          <w:sz w:val="20"/>
          <w:szCs w:val="20"/>
          <w:color w:val="auto"/>
        </w:rPr>
      </w:pPr>
    </w:p>
    <w:p>
      <w:pPr>
        <w:jc w:val="both"/>
        <w:ind w:left="200" w:right="219" w:firstLine="667"/>
        <w:spacing w:after="0" w:line="248" w:lineRule="auto"/>
        <w:rPr>
          <w:sz w:val="20"/>
          <w:szCs w:val="20"/>
          <w:color w:val="auto"/>
        </w:rPr>
      </w:pPr>
      <w:r>
        <w:rPr>
          <w:rFonts w:ascii="Times New Roman" w:cs="Times New Roman" w:eastAsia="Times New Roman" w:hAnsi="Times New Roman"/>
          <w:sz w:val="22"/>
          <w:szCs w:val="22"/>
          <w:color w:val="auto"/>
        </w:rPr>
        <w:t>The Securities will be fully and unconditionally guaranteed on a senior basis by the Company’s wholly owned subsidiary, Waste Management Holdings, Inc., pursuant to the terms and conditions of a Guarantee, dated as of November 4,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8" w:lineRule="exact"/>
        <w:rPr>
          <w:sz w:val="20"/>
          <w:szCs w:val="20"/>
          <w:color w:val="auto"/>
        </w:rPr>
      </w:pPr>
    </w:p>
    <w:p>
      <w:pPr>
        <w:ind w:left="1500" w:hanging="625"/>
        <w:spacing w:after="0"/>
        <w:tabs>
          <w:tab w:leader="none" w:pos="15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Satisfaction and Discharge.</w:t>
      </w:r>
    </w:p>
    <w:p>
      <w:pPr>
        <w:spacing w:after="0" w:line="224"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The Securities will be subject to Section 401 of the Indenture; provided, however, that solely with respect to the Securities, Section 401(1)(B) of the Indenture shall be deleted in its entirety and replaced with the following:</w:t>
      </w:r>
    </w:p>
    <w:p>
      <w:pPr>
        <w:spacing w:after="0" w:line="173" w:lineRule="exact"/>
        <w:rPr>
          <w:sz w:val="20"/>
          <w:szCs w:val="20"/>
          <w:color w:val="auto"/>
        </w:rPr>
      </w:pPr>
    </w:p>
    <w:p>
      <w:pPr>
        <w:ind w:left="860" w:right="239" w:firstLine="19"/>
        <w:spacing w:after="0" w:line="271" w:lineRule="auto"/>
        <w:rPr>
          <w:sz w:val="20"/>
          <w:szCs w:val="20"/>
          <w:color w:val="auto"/>
        </w:rPr>
      </w:pPr>
      <w:r>
        <w:rPr>
          <w:rFonts w:ascii="Times New Roman" w:cs="Times New Roman" w:eastAsia="Times New Roman" w:hAnsi="Times New Roman"/>
          <w:sz w:val="22"/>
          <w:szCs w:val="22"/>
          <w:color w:val="auto"/>
        </w:rPr>
        <w:t>“(B) all such Securities and, in the case of (i) or (ii) below, any coupons appertaining thereto not theretofore delivered to the Trustee for cancellation</w:t>
      </w:r>
    </w:p>
    <w:p>
      <w:pPr>
        <w:spacing w:after="0" w:line="158" w:lineRule="exact"/>
        <w:rPr>
          <w:sz w:val="20"/>
          <w:szCs w:val="20"/>
          <w:color w:val="auto"/>
        </w:rPr>
      </w:pPr>
    </w:p>
    <w:p>
      <w:pPr>
        <w:ind w:left="2800" w:hanging="647"/>
        <w:spacing w:after="0"/>
        <w:tabs>
          <w:tab w:leader="none" w:pos="28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become due and payable, or</w:t>
      </w:r>
    </w:p>
    <w:p>
      <w:pPr>
        <w:spacing w:after="0" w:line="219" w:lineRule="exact"/>
        <w:rPr>
          <w:rFonts w:ascii="Times New Roman" w:cs="Times New Roman" w:eastAsia="Times New Roman" w:hAnsi="Times New Roman"/>
          <w:sz w:val="22"/>
          <w:szCs w:val="22"/>
          <w:color w:val="auto"/>
        </w:rPr>
      </w:pPr>
    </w:p>
    <w:p>
      <w:pPr>
        <w:ind w:left="2160" w:right="239" w:hanging="7"/>
        <w:spacing w:after="0" w:line="271" w:lineRule="auto"/>
        <w:tabs>
          <w:tab w:leader="none" w:pos="280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become due and payable at their Stated Maturity within one year,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606425</wp:posOffset>
            </wp:positionV>
            <wp:extent cx="545211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73" w:name="page174"/>
    <w:bookmarkEnd w:id="173"/>
    <w:p>
      <w:pPr>
        <w:jc w:val="both"/>
        <w:ind w:left="2160" w:right="219" w:hanging="7"/>
        <w:spacing w:after="0" w:line="263" w:lineRule="auto"/>
        <w:tabs>
          <w:tab w:leader="none" w:pos="280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to be called for redemption within one year under arrangements satisfactory to the Trustee for the giving of notice of redemption by the Trustee in the name, and at the expense, of the Company;</w:t>
      </w:r>
    </w:p>
    <w:p>
      <w:pPr>
        <w:spacing w:after="0" w:line="167"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1"/>
          <w:szCs w:val="21"/>
          <w:color w:val="auto"/>
        </w:rPr>
        <w:t>and the Company, in the case of (i), (ii) or (iii) above, has deposited or caused to be deposited with the Trustee as trust funds, U.S. legal tender, U.S. Governmental Obligations or a combination thereof, an amount sufficient to pay and discharge the entire indebtedness on such Securities and coupons not theretofore delivered to the Trustee for cancellation, for principal (and premium, if any) and any interest to the date of such deposit (in the case of Securities which have become due and payable) or to the Stated Maturity or Redemption Date, as the case may be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 For purposes of this section, “U.S. Governmental Obligations” means direct non-callable obligations of, or guaranteed by, the United States of America for the payment of which guarantee or obligations the full faith and credit of the United States is pledged.”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1209040</wp:posOffset>
            </wp:positionV>
            <wp:extent cx="545211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4" w:name="page175"/>
    <w:bookmarkEnd w:id="174"/>
    <w:p>
      <w:pPr>
        <w:jc w:val="center"/>
        <w:ind w:right="19"/>
        <w:spacing w:after="0"/>
        <w:rPr>
          <w:sz w:val="20"/>
          <w:szCs w:val="20"/>
          <w:color w:val="auto"/>
        </w:rPr>
      </w:pPr>
      <w:r>
        <w:rPr>
          <w:rFonts w:ascii="Times New Roman" w:cs="Times New Roman" w:eastAsia="Times New Roman" w:hAnsi="Times New Roman"/>
          <w:sz w:val="22"/>
          <w:szCs w:val="22"/>
          <w:color w:val="auto"/>
        </w:rPr>
        <w:t>SCHEDULE OF EXCHANGES OF DEFINITIVE SECURITY</w:t>
      </w:r>
    </w:p>
    <w:p>
      <w:pPr>
        <w:spacing w:after="0" w:line="220"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The following exchanges of a part of this Book-Entry Security for definitive Securities have been made:</w:t>
      </w:r>
    </w:p>
    <w:p>
      <w:pPr>
        <w:spacing w:after="0" w:line="200" w:lineRule="exact"/>
        <w:rPr>
          <w:sz w:val="20"/>
          <w:szCs w:val="20"/>
          <w:color w:val="auto"/>
        </w:rPr>
      </w:pPr>
    </w:p>
    <w:p>
      <w:pPr>
        <w:spacing w:after="0" w:line="38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decrease</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increase</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this Book-Entry</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this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 this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following</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 officer</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Book-Entry</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Book-Entry</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such decrease (or</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Trustee or</w:t>
            </w:r>
          </w:p>
        </w:tc>
        <w:tc>
          <w:tcPr>
            <w:tcW w:w="60" w:type="dxa"/>
            <w:vAlign w:val="bottom"/>
          </w:tcPr>
          <w:p>
            <w:pPr>
              <w:spacing w:after="0"/>
              <w:rPr>
                <w:sz w:val="18"/>
                <w:szCs w:val="18"/>
                <w:color w:val="auto"/>
              </w:rPr>
            </w:pPr>
          </w:p>
        </w:tc>
      </w:tr>
      <w:tr>
        <w:trPr>
          <w:trHeight w:val="265"/>
        </w:trPr>
        <w:tc>
          <w:tcPr>
            <w:tcW w:w="80" w:type="dxa"/>
            <w:vAlign w:val="bottom"/>
          </w:tcPr>
          <w:p>
            <w:pPr>
              <w:spacing w:after="0"/>
              <w:rPr>
                <w:sz w:val="23"/>
                <w:szCs w:val="23"/>
                <w:color w:val="auto"/>
              </w:rPr>
            </w:pPr>
          </w:p>
        </w:tc>
        <w:tc>
          <w:tcPr>
            <w:tcW w:w="1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180" w:type="dxa"/>
            <w:vAlign w:val="bottom"/>
          </w:tcPr>
          <w:p>
            <w:pPr>
              <w:spacing w:after="0"/>
              <w:rPr>
                <w:sz w:val="23"/>
                <w:szCs w:val="23"/>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0" w:type="dxa"/>
            <w:vAlign w:val="bottom"/>
          </w:tcPr>
          <w:p>
            <w:pPr>
              <w:spacing w:after="0"/>
              <w:rPr>
                <w:sz w:val="23"/>
                <w:szCs w:val="23"/>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0" w:type="dxa"/>
            <w:vAlign w:val="bottom"/>
          </w:tcPr>
          <w:p>
            <w:pPr>
              <w:spacing w:after="0"/>
              <w:rPr>
                <w:sz w:val="23"/>
                <w:szCs w:val="23"/>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80" w:type="dxa"/>
            <w:vAlign w:val="bottom"/>
          </w:tcPr>
          <w:p>
            <w:pPr>
              <w:spacing w:after="0"/>
              <w:rPr>
                <w:sz w:val="23"/>
                <w:szCs w:val="23"/>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Custodian</w:t>
            </w:r>
          </w:p>
        </w:tc>
        <w:tc>
          <w:tcPr>
            <w:tcW w:w="60" w:type="dxa"/>
            <w:vAlign w:val="bottom"/>
            <w:tcBorders>
              <w:bottom w:val="single" w:sz="8" w:color="auto"/>
            </w:tcBorders>
          </w:tcPr>
          <w:p>
            <w:pPr>
              <w:spacing w:after="0"/>
              <w:rPr>
                <w:sz w:val="23"/>
                <w:szCs w:val="23"/>
                <w:color w:val="auto"/>
              </w:rPr>
            </w:pPr>
          </w:p>
        </w:tc>
      </w:tr>
      <w:tr>
        <w:trPr>
          <w:trHeight w:val="1755"/>
        </w:trPr>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019"/>
          </w:cols>
          <w:pgMar w:left="1440" w:top="922" w:right="1440" w:bottom="1440" w:gutter="0" w:footer="0" w:header="0"/>
        </w:sectPr>
      </w:pPr>
    </w:p>
    <w:bookmarkStart w:id="175" w:name="page176"/>
    <w:bookmarkEnd w:id="175"/>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4.9</w:t>
      </w:r>
    </w:p>
    <w:p>
      <w:pPr>
        <w:spacing w:after="0" w:line="200" w:lineRule="exact"/>
        <w:rPr>
          <w:sz w:val="20"/>
          <w:szCs w:val="20"/>
          <w:color w:val="auto"/>
        </w:rPr>
      </w:pPr>
    </w:p>
    <w:p>
      <w:pPr>
        <w:spacing w:after="0" w:line="317" w:lineRule="exact"/>
        <w:rPr>
          <w:sz w:val="20"/>
          <w:szCs w:val="20"/>
          <w:color w:val="auto"/>
        </w:rPr>
      </w:pPr>
    </w:p>
    <w:p>
      <w:pPr>
        <w:jc w:val="center"/>
        <w:ind w:left="200" w:right="219"/>
        <w:spacing w:after="0" w:line="259" w:lineRule="auto"/>
        <w:rPr>
          <w:sz w:val="20"/>
          <w:szCs w:val="20"/>
          <w:color w:val="auto"/>
        </w:rPr>
      </w:pPr>
      <w:r>
        <w:rPr>
          <w:rFonts w:ascii="Times New Roman" w:cs="Times New Roman" w:eastAsia="Times New Roman" w:hAnsi="Times New Roman"/>
          <w:sz w:val="22"/>
          <w:szCs w:val="22"/>
          <w:b w:val="1"/>
          <w:bCs w:val="1"/>
          <w:color w:val="auto"/>
        </w:rPr>
        <w:t>WASTE MANAGEMENT, INC. Officers’ Certificate Delivered Pursuant to Section 301 of the Indenture dated as of September 10, 1997</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November 4, 2024</w:t>
      </w: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The undersigned, the Vice President and Treasurer, and the Vice President and</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Corporate Secretary of Waste Management, Inc. (the “Company”), hereby certify that:</w:t>
      </w:r>
    </w:p>
    <w:p>
      <w:pPr>
        <w:spacing w:after="0" w:line="196" w:lineRule="exact"/>
        <w:rPr>
          <w:sz w:val="20"/>
          <w:szCs w:val="20"/>
          <w:color w:val="auto"/>
        </w:rPr>
      </w:pPr>
    </w:p>
    <w:p>
      <w:pPr>
        <w:jc w:val="both"/>
        <w:ind w:left="200" w:right="219" w:firstLine="1305"/>
        <w:spacing w:after="0" w:line="248"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November 4, 2024 (the “Order”) for the authentication and delivery by the Trustee of $700,000,000 aggregate principal amount of 4.650% Senior Notes due 2030 (the “Notes”).</w:t>
      </w:r>
    </w:p>
    <w:p>
      <w:pPr>
        <w:spacing w:after="0" w:line="181" w:lineRule="exact"/>
        <w:rPr>
          <w:rFonts w:ascii="Times New Roman" w:cs="Times New Roman" w:eastAsia="Times New Roman" w:hAnsi="Times New Roman"/>
          <w:sz w:val="22"/>
          <w:szCs w:val="22"/>
          <w:color w:val="auto"/>
        </w:rPr>
      </w:pPr>
    </w:p>
    <w:p>
      <w:pPr>
        <w:ind w:left="200" w:right="219" w:firstLine="1305"/>
        <w:spacing w:after="0" w:line="271"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have read Sections 102, 103, 301 and 303 of the Indenture and the definitions in the Indenture relating thereto.</w:t>
      </w:r>
    </w:p>
    <w:p>
      <w:pPr>
        <w:spacing w:after="0" w:line="157" w:lineRule="exact"/>
        <w:rPr>
          <w:rFonts w:ascii="Times New Roman" w:cs="Times New Roman" w:eastAsia="Times New Roman" w:hAnsi="Times New Roman"/>
          <w:sz w:val="22"/>
          <w:szCs w:val="22"/>
          <w:color w:val="auto"/>
        </w:rPr>
      </w:pPr>
    </w:p>
    <w:p>
      <w:pPr>
        <w:jc w:val="both"/>
        <w:ind w:left="200" w:right="239" w:firstLine="1305"/>
        <w:spacing w:after="0" w:line="256"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76" w:lineRule="exact"/>
        <w:rPr>
          <w:rFonts w:ascii="Times New Roman" w:cs="Times New Roman" w:eastAsia="Times New Roman" w:hAnsi="Times New Roman"/>
          <w:sz w:val="22"/>
          <w:szCs w:val="22"/>
          <w:color w:val="auto"/>
        </w:rPr>
      </w:pPr>
    </w:p>
    <w:p>
      <w:pPr>
        <w:ind w:left="200" w:right="239" w:firstLine="1305"/>
        <w:spacing w:after="0" w:line="271"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have examined the Order, and they have read the covenants, conditions and provisions of the Indenture relating thereto.</w:t>
      </w:r>
    </w:p>
    <w:p>
      <w:pPr>
        <w:spacing w:after="0" w:line="157"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covenants and conditions (including all conditions precedent) provided in the Indenture to the authentication and delivery by the Trustee of $700,000,000 aggregate principal amount of the Notes have been complied with, and such Notes may be delivered in accordance with the Order as provided in the Indenture.</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of the Notes (including the Form of Note) as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to this Certificate have been approved by officers of the Company as authorized by resolutions duly adopted on March 1, 2022, August 21, 2023, August 26, 2024 and October 3, 2024 by the Board of Directors of the Company, which are in full force and effect as of the date hereof.</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639445</wp:posOffset>
            </wp:positionV>
            <wp:extent cx="545211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76" w:name="page177"/>
    <w:bookmarkEnd w:id="176"/>
    <w:p>
      <w:pPr>
        <w:ind w:left="200" w:right="439"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hereunto executed this Officers’ Certificate as of the date first written above.</w:t>
      </w:r>
    </w:p>
    <w:p>
      <w:pPr>
        <w:spacing w:after="0" w:line="200" w:lineRule="exact"/>
        <w:rPr>
          <w:sz w:val="20"/>
          <w:szCs w:val="20"/>
          <w:color w:val="auto"/>
        </w:rPr>
      </w:pPr>
    </w:p>
    <w:p>
      <w:pPr>
        <w:spacing w:after="0" w:line="29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/s/ Leslie K. Nagy</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-160020</wp:posOffset>
            </wp:positionV>
            <wp:extent cx="26060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Vice President and Treasurer</w:t>
      </w:r>
    </w:p>
    <w:p>
      <w:pPr>
        <w:spacing w:after="0" w:line="25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/s/ Courtney A. Tippy</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-160020</wp:posOffset>
            </wp:positionV>
            <wp:extent cx="26060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Vice President and Corporate Secretary</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301 of the Indenture dated as of September 10, 1997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7" w:name="page178"/>
    <w:bookmarkEnd w:id="177"/>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Annex A</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Terms of the Notes</w:t>
      </w:r>
    </w:p>
    <w:p>
      <w:pPr>
        <w:spacing w:after="0" w:line="263"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auto"/>
        </w:rPr>
        <w:t>Pursuant to authority granted by the Board of Directors of the Company on March 1, 2022, August 21, 2023, August 26, 2024 and October 3, 2024 and the Sole Director of Waste Management Holdings, Inc. on October 3, 2024,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91" w:lineRule="exact"/>
        <w:rPr>
          <w:sz w:val="20"/>
          <w:szCs w:val="20"/>
          <w:color w:val="auto"/>
        </w:rPr>
      </w:pPr>
    </w:p>
    <w:p>
      <w:pPr>
        <w:ind w:left="860" w:hanging="651"/>
        <w:spacing w:after="0"/>
        <w:tabs>
          <w:tab w:leader="none" w:pos="860"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title of the series of Securities shall be “4.650% Senior Notes due 2030” (the “Notes”).</w:t>
      </w:r>
    </w:p>
    <w:p>
      <w:pPr>
        <w:spacing w:after="0" w:line="231" w:lineRule="exact"/>
        <w:rPr>
          <w:rFonts w:ascii="Times New Roman" w:cs="Times New Roman" w:eastAsia="Times New Roman" w:hAnsi="Times New Roman"/>
          <w:sz w:val="21"/>
          <w:szCs w:val="21"/>
          <w:color w:val="auto"/>
        </w:rPr>
      </w:pPr>
    </w:p>
    <w:p>
      <w:pPr>
        <w:ind w:left="860" w:hanging="651"/>
        <w:spacing w:after="0"/>
        <w:tabs>
          <w:tab w:leader="none" w:pos="8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general unsecured, senior obligations of the Company.</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aggregate principal amount of the Notes that may be authenticated and delivered under the Indenture shall be $700,000,000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81"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each Note shall be payable on March 15, 2030.</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Note shall bear interest from November 4, 2024 at the fixed rate of 4.650% per annum; the Interest Payment Dates on which such interest shall be payable shall be March 15 and September 15 of each year, commencing March 15, 2025, until maturity, unless such date falls on a day that is not a Business Day, in which case, such payment shall be made on the next day that is a Business Day. The Regular Record Date for the determination of Holders to whom interest is payable shall be March 1 or September 1, respectively, immediately preceding such date, as the case may be.</w:t>
      </w:r>
    </w:p>
    <w:p>
      <w:pPr>
        <w:spacing w:after="0" w:line="181" w:lineRule="exact"/>
        <w:rPr>
          <w:rFonts w:ascii="Times New Roman" w:cs="Times New Roman" w:eastAsia="Times New Roman" w:hAnsi="Times New Roman"/>
          <w:sz w:val="22"/>
          <w:szCs w:val="22"/>
          <w:color w:val="auto"/>
        </w:rPr>
      </w:pPr>
    </w:p>
    <w:p>
      <w:pPr>
        <w:jc w:val="both"/>
        <w:ind w:left="860" w:right="219" w:hanging="651"/>
        <w:spacing w:after="0" w:line="252" w:lineRule="auto"/>
        <w:tabs>
          <w:tab w:leader="none" w:pos="8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79"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615950</wp:posOffset>
            </wp:positionV>
            <wp:extent cx="545211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178" w:name="page179"/>
    <w:bookmarkEnd w:id="178"/>
    <w:p>
      <w:pPr>
        <w:jc w:val="both"/>
        <w:ind w:left="860" w:right="219" w:hanging="651"/>
        <w:spacing w:after="0" w:line="251" w:lineRule="auto"/>
        <w:tabs>
          <w:tab w:leader="none" w:pos="86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67" w:lineRule="exact"/>
        <w:rPr>
          <w:rFonts w:ascii="Times New Roman" w:cs="Times New Roman" w:eastAsia="Times New Roman" w:hAnsi="Times New Roman"/>
          <w:sz w:val="22"/>
          <w:szCs w:val="22"/>
          <w:color w:val="auto"/>
        </w:rPr>
      </w:pPr>
    </w:p>
    <w:p>
      <w:pPr>
        <w:jc w:val="both"/>
        <w:ind w:left="860" w:right="239" w:hanging="651"/>
        <w:spacing w:after="0" w:line="281" w:lineRule="auto"/>
        <w:tabs>
          <w:tab w:leader="none" w:pos="860"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37" w:lineRule="exact"/>
        <w:rPr>
          <w:rFonts w:ascii="Times New Roman" w:cs="Times New Roman" w:eastAsia="Times New Roman" w:hAnsi="Times New Roman"/>
          <w:sz w:val="21"/>
          <w:szCs w:val="21"/>
          <w:color w:val="auto"/>
        </w:rPr>
      </w:pPr>
    </w:p>
    <w:p>
      <w:pPr>
        <w:jc w:val="both"/>
        <w:ind w:left="1500" w:right="219" w:firstLine="5"/>
        <w:spacing w:after="0" w:line="253" w:lineRule="auto"/>
        <w:tabs>
          <w:tab w:leader="none" w:pos="1857"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10 basis points, less (b) interest accrued to the Redemption Date, and</w:t>
      </w:r>
    </w:p>
    <w:p>
      <w:pPr>
        <w:spacing w:after="0" w:line="178" w:lineRule="exact"/>
        <w:rPr>
          <w:rFonts w:ascii="Times New Roman" w:cs="Times New Roman" w:eastAsia="Times New Roman" w:hAnsi="Times New Roman"/>
          <w:sz w:val="22"/>
          <w:szCs w:val="22"/>
          <w:color w:val="auto"/>
        </w:rPr>
      </w:pPr>
    </w:p>
    <w:p>
      <w:pPr>
        <w:ind w:left="1820" w:hanging="315"/>
        <w:spacing w:after="0"/>
        <w:tabs>
          <w:tab w:leader="none" w:pos="182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Notes to be redeemed,</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plus, in either case, accrued and unpaid interest thereon to the Redemption Date.</w:t>
      </w:r>
    </w:p>
    <w:p>
      <w:pPr>
        <w:spacing w:after="0" w:line="220" w:lineRule="exact"/>
        <w:rPr>
          <w:sz w:val="20"/>
          <w:szCs w:val="20"/>
          <w:color w:val="auto"/>
        </w:rPr>
      </w:pPr>
    </w:p>
    <w:p>
      <w:pPr>
        <w:jc w:val="both"/>
        <w:ind w:left="860" w:right="219"/>
        <w:spacing w:after="0" w:line="252" w:lineRule="auto"/>
        <w:rPr>
          <w:sz w:val="20"/>
          <w:szCs w:val="20"/>
          <w:color w:val="auto"/>
        </w:rPr>
      </w:pPr>
      <w:r>
        <w:rPr>
          <w:rFonts w:ascii="Times New Roman" w:cs="Times New Roman" w:eastAsia="Times New Roman" w:hAnsi="Times New Roman"/>
          <w:sz w:val="22"/>
          <w:szCs w:val="22"/>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“Par Call Date” means February 15, 2030.</w:t>
      </w:r>
    </w:p>
    <w:p>
      <w:pPr>
        <w:spacing w:after="0" w:line="220" w:lineRule="exact"/>
        <w:rPr>
          <w:sz w:val="20"/>
          <w:szCs w:val="20"/>
          <w:color w:val="auto"/>
        </w:rPr>
      </w:pPr>
    </w:p>
    <w:p>
      <w:pPr>
        <w:jc w:val="both"/>
        <w:ind w:left="860" w:right="239" w:hanging="651"/>
        <w:spacing w:after="0" w:line="257" w:lineRule="auto"/>
        <w:tabs>
          <w:tab w:leader="none" w:pos="8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no obligation to redeem, purchase or repay the Notes pursuant to any mandatory redemption, sinking fund or analogous provisions or at the option of a Holder thereof.</w:t>
      </w:r>
    </w:p>
    <w:p>
      <w:pPr>
        <w:spacing w:after="0" w:line="172"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will be subject to defeasance and discharge as contemplated by Section 1302 of the Indenture and to covenant defeasance under Section 1303 of the Indenture.</w:t>
      </w:r>
    </w:p>
    <w:p>
      <w:pPr>
        <w:spacing w:after="0" w:line="157"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entitled to the benefit of the covenants contained in Sections 1008 and 1009 of the Indenture.</w:t>
      </w:r>
    </w:p>
    <w:p>
      <w:pPr>
        <w:spacing w:after="0" w:line="157"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 of New York Mellon Trust Company, N.A. shall serve initially as Security Registrar for the Notes.</w:t>
      </w:r>
    </w:p>
    <w:p>
      <w:pPr>
        <w:spacing w:after="0" w:line="157"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substantially in the form of Exhibit A hereto.</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65" w:lineRule="auto"/>
        <w:tabs>
          <w:tab w:leader="none" w:pos="86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Notes will be fully and unconditionally guaranteed on a senior basis by the Company’s wholly owned subsidiary, Waste Management Holdings, Inc., pursuant to the terms and conditions of a Guarantee Agreement dated November 4, 2024 (the “Guarantee”). The amount of the Guarantee will be limited to the extent required under applicable fraudulent conveyance laws to cause the Guarantee to be enforceable. The terms and conditions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602615</wp:posOffset>
            </wp:positionV>
            <wp:extent cx="545211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9" w:name="page180"/>
    <w:bookmarkEnd w:id="179"/>
    <w:p>
      <w:pPr>
        <w:ind w:left="860" w:right="239"/>
        <w:spacing w:after="0" w:line="271" w:lineRule="auto"/>
        <w:rPr>
          <w:sz w:val="20"/>
          <w:szCs w:val="20"/>
          <w:color w:val="auto"/>
        </w:rPr>
      </w:pPr>
      <w:r>
        <w:rPr>
          <w:rFonts w:ascii="Times New Roman" w:cs="Times New Roman" w:eastAsia="Times New Roman" w:hAnsi="Times New Roman"/>
          <w:sz w:val="22"/>
          <w:szCs w:val="22"/>
          <w:color w:val="auto"/>
        </w:rPr>
        <w:t>Guarantee shall continue in full force and effect for the benefit of holders of the Notes until release thereof as set forth in Section 6 of the Guarantee.</w:t>
      </w:r>
    </w:p>
    <w:p>
      <w:pPr>
        <w:spacing w:after="0" w:line="158" w:lineRule="exact"/>
        <w:rPr>
          <w:sz w:val="20"/>
          <w:szCs w:val="20"/>
          <w:color w:val="auto"/>
        </w:rPr>
      </w:pPr>
    </w:p>
    <w:p>
      <w:pPr>
        <w:jc w:val="both"/>
        <w:ind w:left="860" w:right="219" w:hanging="651"/>
        <w:spacing w:after="0" w:line="263" w:lineRule="auto"/>
        <w:tabs>
          <w:tab w:leader="none" w:pos="86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1537970</wp:posOffset>
            </wp:positionV>
            <wp:extent cx="545211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655320</wp:posOffset>
            </wp:positionV>
            <wp:extent cx="545211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22"/>
          <w:szCs w:val="22"/>
          <w:color w:val="auto"/>
        </w:rPr>
        <w:t>BOOK-ENTRY SECURITY</w:t>
      </w:r>
    </w:p>
    <w:p>
      <w:pPr>
        <w:spacing w:after="0" w:line="220" w:lineRule="exact"/>
        <w:rPr>
          <w:sz w:val="20"/>
          <w:szCs w:val="20"/>
          <w:color w:val="auto"/>
        </w:rPr>
      </w:pPr>
    </w:p>
    <w:p>
      <w:pPr>
        <w:jc w:val="both"/>
        <w:ind w:left="200" w:right="219" w:firstLine="667"/>
        <w:spacing w:after="0" w:line="247" w:lineRule="auto"/>
        <w:rPr>
          <w:sz w:val="20"/>
          <w:szCs w:val="20"/>
          <w:color w:val="auto"/>
        </w:rPr>
      </w:pPr>
      <w:r>
        <w:rPr>
          <w:rFonts w:ascii="Times New Roman" w:cs="Times New Roman" w:eastAsia="Times New Roman" w:hAnsi="Times New Roman"/>
          <w:sz w:val="22"/>
          <w:szCs w:val="22"/>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91"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282"/>
        </w:trPr>
        <w:tc>
          <w:tcPr>
            <w:tcW w:w="5800" w:type="dxa"/>
            <w:vAlign w:val="bottom"/>
          </w:tcPr>
          <w:p>
            <w:pPr>
              <w:spacing w:after="0"/>
              <w:rPr>
                <w:sz w:val="20"/>
                <w:szCs w:val="20"/>
                <w:color w:val="auto"/>
              </w:rPr>
            </w:pPr>
            <w:r>
              <w:rPr>
                <w:rFonts w:ascii="Times New Roman" w:cs="Times New Roman" w:eastAsia="Times New Roman" w:hAnsi="Times New Roman"/>
                <w:sz w:val="22"/>
                <w:szCs w:val="22"/>
                <w:color w:val="auto"/>
              </w:rPr>
              <w:t>RGN</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Principal Amount</w:t>
            </w:r>
          </w:p>
        </w:tc>
        <w:tc>
          <w:tcPr>
            <w:tcW w:w="0" w:type="dxa"/>
            <w:vAlign w:val="bottom"/>
          </w:tcPr>
          <w:p>
            <w:pPr>
              <w:spacing w:after="0"/>
              <w:rPr>
                <w:sz w:val="1"/>
                <w:szCs w:val="1"/>
                <w:color w:val="auto"/>
              </w:rPr>
            </w:pPr>
          </w:p>
        </w:tc>
      </w:tr>
      <w:tr>
        <w:trPr>
          <w:trHeight w:val="460"/>
        </w:trPr>
        <w:tc>
          <w:tcPr>
            <w:tcW w:w="5800" w:type="dxa"/>
            <w:vAlign w:val="bottom"/>
          </w:tcPr>
          <w:p>
            <w:pPr>
              <w:spacing w:after="0"/>
              <w:rPr>
                <w:sz w:val="24"/>
                <w:szCs w:val="24"/>
                <w:color w:val="auto"/>
              </w:rPr>
            </w:pPr>
          </w:p>
        </w:tc>
        <w:tc>
          <w:tcPr>
            <w:tcW w:w="198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U.S. $</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7"/>
        </w:trPr>
        <w:tc>
          <w:tcPr>
            <w:tcW w:w="5800" w:type="dxa"/>
            <w:vAlign w:val="bottom"/>
          </w:tcPr>
          <w:p>
            <w:pPr>
              <w:spacing w:after="0"/>
              <w:rPr>
                <w:sz w:val="22"/>
                <w:szCs w:val="22"/>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which may be decreased</w:t>
            </w:r>
          </w:p>
        </w:tc>
        <w:tc>
          <w:tcPr>
            <w:tcW w:w="0" w:type="dxa"/>
            <w:vAlign w:val="bottom"/>
          </w:tcPr>
          <w:p>
            <w:pPr>
              <w:spacing w:after="0"/>
              <w:rPr>
                <w:sz w:val="1"/>
                <w:szCs w:val="1"/>
                <w:color w:val="auto"/>
              </w:rPr>
            </w:pPr>
          </w:p>
        </w:tc>
      </w:tr>
      <w:tr>
        <w:trPr>
          <w:trHeight w:val="256"/>
        </w:trPr>
        <w:tc>
          <w:tcPr>
            <w:tcW w:w="5800" w:type="dxa"/>
            <w:vAlign w:val="bottom"/>
          </w:tcPr>
          <w:p>
            <w:pPr>
              <w:spacing w:after="0"/>
              <w:rPr>
                <w:sz w:val="22"/>
                <w:szCs w:val="22"/>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by the Schedule of</w:t>
            </w:r>
          </w:p>
        </w:tc>
        <w:tc>
          <w:tcPr>
            <w:tcW w:w="0" w:type="dxa"/>
            <w:vAlign w:val="bottom"/>
          </w:tcPr>
          <w:p>
            <w:pPr>
              <w:spacing w:after="0"/>
              <w:rPr>
                <w:sz w:val="1"/>
                <w:szCs w:val="1"/>
                <w:color w:val="auto"/>
              </w:rPr>
            </w:pPr>
          </w:p>
        </w:tc>
      </w:tr>
      <w:tr>
        <w:trPr>
          <w:trHeight w:val="257"/>
        </w:trPr>
        <w:tc>
          <w:tcPr>
            <w:tcW w:w="580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WASTE MANAGEMENT, INC.</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Exchanges of Definitive</w:t>
            </w:r>
          </w:p>
        </w:tc>
        <w:tc>
          <w:tcPr>
            <w:tcW w:w="0" w:type="dxa"/>
            <w:vAlign w:val="bottom"/>
          </w:tcPr>
          <w:p>
            <w:pPr>
              <w:spacing w:after="0"/>
              <w:rPr>
                <w:sz w:val="1"/>
                <w:szCs w:val="1"/>
                <w:color w:val="auto"/>
              </w:rPr>
            </w:pPr>
          </w:p>
        </w:tc>
      </w:tr>
      <w:tr>
        <w:trPr>
          <w:trHeight w:val="282"/>
        </w:trPr>
        <w:tc>
          <w:tcPr>
            <w:tcW w:w="5800" w:type="dxa"/>
            <w:vAlign w:val="bottom"/>
            <w:vMerge w:val="continue"/>
          </w:tcPr>
          <w:p>
            <w:pPr>
              <w:spacing w:after="0"/>
              <w:rPr>
                <w:sz w:val="24"/>
                <w:szCs w:val="24"/>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Security attached hereto</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4.650% SENIOR NOTES DUE 2030</w:t>
      </w:r>
    </w:p>
    <w:p>
      <w:pPr>
        <w:spacing w:after="0" w:line="23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2"/>
          <w:szCs w:val="22"/>
          <w:color w:val="auto"/>
        </w:rPr>
        <w:t>CUSIP 94106L CC1</w:t>
      </w:r>
    </w:p>
    <w:p>
      <w:pPr>
        <w:spacing w:after="0" w:line="233" w:lineRule="exact"/>
        <w:rPr>
          <w:sz w:val="20"/>
          <w:szCs w:val="20"/>
          <w:color w:val="auto"/>
        </w:rPr>
      </w:pPr>
    </w:p>
    <w:p>
      <w:pPr>
        <w:jc w:val="both"/>
        <w:ind w:left="200" w:right="219" w:firstLine="667"/>
        <w:spacing w:after="0" w:line="262" w:lineRule="auto"/>
        <w:rPr>
          <w:sz w:val="20"/>
          <w:szCs w:val="20"/>
          <w:color w:val="auto"/>
        </w:rPr>
      </w:pPr>
      <w:r>
        <w:rPr>
          <w:rFonts w:ascii="Times New Roman" w:cs="Times New Roman" w:eastAsia="Times New Roman" w:hAnsi="Times New Roman"/>
          <w:sz w:val="21"/>
          <w:szCs w:val="21"/>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w:t>
      </w:r>
    </w:p>
    <w:p>
      <w:pPr>
        <w:spacing w:after="0" w:line="3"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principal sum of Million ($ ) U.S. dollars, or such lesser principal sum as is shown on the attached Schedule of Exchanges of Definitive Security, on March 15, 2030 in such coin or currency of the United States of America as at the time of payment shall be legal tender for the payment of public and private debts, and to pay interest at an annual rate of 4.650% payable on March 15 and September 15 of each year, to the person in whose name this Security is registered at the close of business on the record date for such interest, which shall be the preceding March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479425</wp:posOffset>
            </wp:positionV>
            <wp:extent cx="545211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2" w:name="page183"/>
    <w:bookmarkEnd w:id="182"/>
    <w:p>
      <w:pPr>
        <w:jc w:val="both"/>
        <w:ind w:left="200" w:right="219"/>
        <w:spacing w:after="0" w:line="271" w:lineRule="auto"/>
        <w:rPr>
          <w:sz w:val="20"/>
          <w:szCs w:val="20"/>
          <w:color w:val="auto"/>
        </w:rPr>
      </w:pPr>
      <w:r>
        <w:rPr>
          <w:rFonts w:ascii="Times New Roman" w:cs="Times New Roman" w:eastAsia="Times New Roman" w:hAnsi="Times New Roman"/>
          <w:sz w:val="22"/>
          <w:szCs w:val="22"/>
          <w:color w:val="auto"/>
        </w:rPr>
        <w:t>or September 1, respectively, payable commencing March 15, 2025, with interest accruing from November 4, 2024, or the most recent date to which interest has been paid.</w:t>
      </w:r>
    </w:p>
    <w:p>
      <w:pPr>
        <w:spacing w:after="0" w:line="171"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Reference is made to the further provisions of this Security set forth on the reverse hereof. Such further provisions shall for all purposes have the same effect as though fully set forth at this place.</w:t>
      </w:r>
    </w:p>
    <w:p>
      <w:pPr>
        <w:spacing w:after="0" w:line="173"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73"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This Security is issued in respect of a series of Securities of an initial aggregate of U.S. $700,000,000 in principal amount designated as the 4.650% Senior Notes due 2030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91"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79" w:lineRule="exact"/>
        <w:rPr>
          <w:sz w:val="20"/>
          <w:szCs w:val="20"/>
          <w:color w:val="auto"/>
        </w:rPr>
      </w:pPr>
    </w:p>
    <w:p>
      <w:pPr>
        <w:jc w:val="both"/>
        <w:ind w:left="200" w:right="239" w:firstLine="667"/>
        <w:spacing w:after="0" w:line="271" w:lineRule="auto"/>
        <w:rPr>
          <w:sz w:val="20"/>
          <w:szCs w:val="20"/>
          <w:color w:val="auto"/>
        </w:rPr>
      </w:pPr>
      <w:r>
        <w:rPr>
          <w:rFonts w:ascii="Times New Roman" w:cs="Times New Roman" w:eastAsia="Times New Roman" w:hAnsi="Times New Roman"/>
          <w:sz w:val="22"/>
          <w:szCs w:val="22"/>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597535</wp:posOffset>
            </wp:positionV>
            <wp:extent cx="545211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3" w:name="page184"/>
    <w:bookmarkEnd w:id="183"/>
    <w:p>
      <w:pPr>
        <w:ind w:left="200" w:right="239" w:firstLine="667"/>
        <w:spacing w:after="0" w:line="271" w:lineRule="auto"/>
        <w:rPr>
          <w:sz w:val="20"/>
          <w:szCs w:val="20"/>
          <w:color w:val="auto"/>
        </w:rPr>
      </w:pPr>
      <w:r>
        <w:rPr>
          <w:rFonts w:ascii="Times New Roman" w:cs="Times New Roman" w:eastAsia="Times New Roman" w:hAnsi="Times New Roman"/>
          <w:sz w:val="22"/>
          <w:szCs w:val="22"/>
          <w:color w:val="auto"/>
        </w:rPr>
        <w:t>This Security shall not be valid or become obligatory for any purpose until the Certificate of Authentication hereon shall have been manually signed by the Trustee under the Indenture.</w:t>
      </w:r>
    </w:p>
    <w:p>
      <w:pPr>
        <w:spacing w:after="0" w:line="171"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instrument to be duly executed under its corporate seal.</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Dated:</w:t>
            </w: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WASTE MANAGEMENT, INC.,</w:t>
            </w:r>
          </w:p>
        </w:tc>
      </w:tr>
      <w:tr>
        <w:trPr>
          <w:trHeight w:val="282"/>
        </w:trPr>
        <w:tc>
          <w:tcPr>
            <w:tcW w:w="2420" w:type="dxa"/>
            <w:vAlign w:val="bottom"/>
          </w:tcPr>
          <w:p>
            <w:pPr>
              <w:spacing w:after="0"/>
              <w:rPr>
                <w:sz w:val="24"/>
                <w:szCs w:val="24"/>
                <w:color w:val="auto"/>
              </w:rPr>
            </w:pP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a Delaware corporation</w:t>
            </w:r>
          </w:p>
        </w:tc>
      </w:tr>
      <w:tr>
        <w:trPr>
          <w:trHeight w:val="460"/>
        </w:trPr>
        <w:tc>
          <w:tcPr>
            <w:tcW w:w="2420" w:type="dxa"/>
            <w:vAlign w:val="bottom"/>
          </w:tcPr>
          <w:p>
            <w:pPr>
              <w:spacing w:after="0"/>
              <w:rPr>
                <w:sz w:val="24"/>
                <w:szCs w:val="24"/>
                <w:color w:val="auto"/>
              </w:rPr>
            </w:pPr>
          </w:p>
        </w:tc>
        <w:tc>
          <w:tcPr>
            <w:tcW w:w="238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By:</w:t>
            </w:r>
          </w:p>
        </w:tc>
        <w:tc>
          <w:tcPr>
            <w:tcW w:w="2480" w:type="dxa"/>
            <w:vAlign w:val="bottom"/>
            <w:tcBorders>
              <w:bottom w:val="single" w:sz="8" w:color="auto"/>
            </w:tcBorders>
            <w:gridSpan w:val="3"/>
          </w:tcPr>
          <w:p>
            <w:pPr>
              <w:spacing w:after="0"/>
              <w:rPr>
                <w:sz w:val="24"/>
                <w:szCs w:val="24"/>
                <w:color w:val="auto"/>
              </w:rPr>
            </w:pPr>
          </w:p>
        </w:tc>
        <w:tc>
          <w:tcPr>
            <w:tcW w:w="940" w:type="dxa"/>
            <w:vAlign w:val="bottom"/>
          </w:tcPr>
          <w:p>
            <w:pPr>
              <w:spacing w:after="0"/>
              <w:rPr>
                <w:sz w:val="24"/>
                <w:szCs w:val="24"/>
                <w:color w:val="auto"/>
              </w:rPr>
            </w:pPr>
          </w:p>
        </w:tc>
      </w:tr>
      <w:tr>
        <w:trPr>
          <w:trHeight w:val="263"/>
        </w:trPr>
        <w:tc>
          <w:tcPr>
            <w:tcW w:w="2420" w:type="dxa"/>
            <w:vAlign w:val="bottom"/>
          </w:tcPr>
          <w:p>
            <w:pPr>
              <w:spacing w:after="0"/>
              <w:rPr>
                <w:sz w:val="22"/>
                <w:szCs w:val="22"/>
                <w:color w:val="auto"/>
              </w:rPr>
            </w:pPr>
          </w:p>
        </w:tc>
        <w:tc>
          <w:tcPr>
            <w:tcW w:w="5800" w:type="dxa"/>
            <w:vAlign w:val="bottom"/>
            <w:gridSpan w:val="5"/>
          </w:tcPr>
          <w:p>
            <w:pPr>
              <w:ind w:left="2380"/>
              <w:spacing w:after="0"/>
              <w:rPr>
                <w:sz w:val="20"/>
                <w:szCs w:val="20"/>
                <w:color w:val="auto"/>
              </w:rPr>
            </w:pPr>
            <w:r>
              <w:rPr>
                <w:rFonts w:ascii="Times New Roman" w:cs="Times New Roman" w:eastAsia="Times New Roman" w:hAnsi="Times New Roman"/>
                <w:sz w:val="22"/>
                <w:szCs w:val="22"/>
                <w:color w:val="auto"/>
              </w:rPr>
              <w:t>Leslie K. Nagy</w:t>
            </w:r>
          </w:p>
        </w:tc>
      </w:tr>
      <w:tr>
        <w:trPr>
          <w:trHeight w:val="282"/>
        </w:trPr>
        <w:tc>
          <w:tcPr>
            <w:tcW w:w="2420" w:type="dxa"/>
            <w:vAlign w:val="bottom"/>
          </w:tcPr>
          <w:p>
            <w:pPr>
              <w:spacing w:after="0"/>
              <w:rPr>
                <w:sz w:val="24"/>
                <w:szCs w:val="24"/>
                <w:color w:val="auto"/>
              </w:rPr>
            </w:pPr>
          </w:p>
        </w:tc>
        <w:tc>
          <w:tcPr>
            <w:tcW w:w="5800" w:type="dxa"/>
            <w:vAlign w:val="bottom"/>
            <w:gridSpan w:val="5"/>
          </w:tcPr>
          <w:p>
            <w:pPr>
              <w:ind w:left="2380"/>
              <w:spacing w:after="0"/>
              <w:rPr>
                <w:sz w:val="20"/>
                <w:szCs w:val="20"/>
                <w:color w:val="auto"/>
              </w:rPr>
            </w:pPr>
            <w:r>
              <w:rPr>
                <w:rFonts w:ascii="Times New Roman" w:cs="Times New Roman" w:eastAsia="Times New Roman" w:hAnsi="Times New Roman"/>
                <w:sz w:val="22"/>
                <w:szCs w:val="22"/>
                <w:color w:val="auto"/>
              </w:rPr>
              <w:t>Vice President and Treasurer</w:t>
            </w:r>
          </w:p>
        </w:tc>
      </w:tr>
      <w:tr>
        <w:trPr>
          <w:trHeight w:val="769"/>
        </w:trPr>
        <w:tc>
          <w:tcPr>
            <w:tcW w:w="2420" w:type="dxa"/>
            <w:vAlign w:val="bottom"/>
          </w:tcPr>
          <w:p>
            <w:pPr>
              <w:spacing w:after="0"/>
              <w:rPr>
                <w:sz w:val="24"/>
                <w:szCs w:val="24"/>
                <w:color w:val="auto"/>
              </w:rPr>
            </w:pP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Attest:</w:t>
            </w:r>
          </w:p>
        </w:tc>
      </w:tr>
      <w:tr>
        <w:trPr>
          <w:trHeight w:val="461"/>
        </w:trPr>
        <w:tc>
          <w:tcPr>
            <w:tcW w:w="2420" w:type="dxa"/>
            <w:vAlign w:val="bottom"/>
          </w:tcPr>
          <w:p>
            <w:pPr>
              <w:spacing w:after="0"/>
              <w:rPr>
                <w:sz w:val="24"/>
                <w:szCs w:val="24"/>
                <w:color w:val="auto"/>
              </w:rPr>
            </w:pPr>
          </w:p>
        </w:tc>
        <w:tc>
          <w:tcPr>
            <w:tcW w:w="2400" w:type="dxa"/>
            <w:vAlign w:val="bottom"/>
            <w:gridSpan w:val="2"/>
          </w:tcPr>
          <w:p>
            <w:pPr>
              <w:ind w:left="1820"/>
              <w:spacing w:after="0"/>
              <w:rPr>
                <w:sz w:val="20"/>
                <w:szCs w:val="20"/>
                <w:color w:val="auto"/>
              </w:rPr>
            </w:pPr>
            <w:r>
              <w:rPr>
                <w:rFonts w:ascii="Times New Roman" w:cs="Times New Roman" w:eastAsia="Times New Roman" w:hAnsi="Times New Roman"/>
                <w:sz w:val="22"/>
                <w:szCs w:val="22"/>
                <w:color w:val="auto"/>
              </w:rPr>
              <w:t>By:</w:t>
            </w:r>
          </w:p>
        </w:tc>
        <w:tc>
          <w:tcPr>
            <w:tcW w:w="2440" w:type="dxa"/>
            <w:vAlign w:val="bottom"/>
            <w:tcBorders>
              <w:bottom w:val="single" w:sz="8" w:color="auto"/>
            </w:tcBorders>
          </w:tcPr>
          <w:p>
            <w:pPr>
              <w:spacing w:after="0"/>
              <w:rPr>
                <w:sz w:val="24"/>
                <w:szCs w:val="24"/>
                <w:color w:val="auto"/>
              </w:rPr>
            </w:pPr>
          </w:p>
        </w:tc>
        <w:tc>
          <w:tcPr>
            <w:tcW w:w="960" w:type="dxa"/>
            <w:vAlign w:val="bottom"/>
            <w:gridSpan w:val="2"/>
          </w:tcPr>
          <w:p>
            <w:pPr>
              <w:spacing w:after="0"/>
              <w:rPr>
                <w:sz w:val="24"/>
                <w:szCs w:val="24"/>
                <w:color w:val="auto"/>
              </w:rPr>
            </w:pPr>
          </w:p>
        </w:tc>
      </w:tr>
      <w:tr>
        <w:trPr>
          <w:trHeight w:val="263"/>
        </w:trPr>
        <w:tc>
          <w:tcPr>
            <w:tcW w:w="2420" w:type="dxa"/>
            <w:vAlign w:val="bottom"/>
          </w:tcPr>
          <w:p>
            <w:pPr>
              <w:spacing w:after="0"/>
              <w:rPr>
                <w:sz w:val="22"/>
                <w:szCs w:val="22"/>
                <w:color w:val="auto"/>
              </w:rPr>
            </w:pPr>
          </w:p>
        </w:tc>
        <w:tc>
          <w:tcPr>
            <w:tcW w:w="5800" w:type="dxa"/>
            <w:vAlign w:val="bottom"/>
            <w:gridSpan w:val="5"/>
          </w:tcPr>
          <w:p>
            <w:pPr>
              <w:ind w:left="2380"/>
              <w:spacing w:after="0"/>
              <w:rPr>
                <w:sz w:val="20"/>
                <w:szCs w:val="20"/>
                <w:color w:val="auto"/>
              </w:rPr>
            </w:pPr>
            <w:r>
              <w:rPr>
                <w:rFonts w:ascii="Times New Roman" w:cs="Times New Roman" w:eastAsia="Times New Roman" w:hAnsi="Times New Roman"/>
                <w:sz w:val="22"/>
                <w:szCs w:val="22"/>
                <w:color w:val="auto"/>
              </w:rPr>
              <w:t>Courtney A. Tippy</w:t>
            </w:r>
          </w:p>
        </w:tc>
      </w:tr>
      <w:tr>
        <w:trPr>
          <w:trHeight w:val="282"/>
        </w:trPr>
        <w:tc>
          <w:tcPr>
            <w:tcW w:w="2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2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7"/>
              </w:rPr>
              <w:t>Vice President and Corporate Secretary</w:t>
            </w:r>
          </w:p>
        </w:tc>
      </w:tr>
    </w:tbl>
    <w:p>
      <w:pPr>
        <w:spacing w:after="0" w:line="3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CERTIFICATE OF AUTHENTICATION</w:t>
      </w:r>
    </w:p>
    <w:p>
      <w:pPr>
        <w:spacing w:after="0" w:line="220"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is one of the Securities of the series designated therein referred to in the within-mentioned Indenture.</w:t>
      </w:r>
    </w:p>
    <w:p>
      <w:pPr>
        <w:spacing w:after="0" w:line="158" w:lineRule="exact"/>
        <w:rPr>
          <w:sz w:val="20"/>
          <w:szCs w:val="20"/>
          <w:color w:val="auto"/>
        </w:rPr>
      </w:pPr>
    </w:p>
    <w:tbl>
      <w:tblPr>
        <w:tblLayout w:type="fixed"/>
        <w:tblInd w:w="220" w:type="dxa"/>
        <w:tblCellMar>
          <w:top w:w="0" w:type="dxa"/>
          <w:left w:w="0" w:type="dxa"/>
          <w:bottom w:w="0" w:type="dxa"/>
          <w:right w:w="0" w:type="dxa"/>
        </w:tblCellMar>
      </w:tblPr>
      <w:tr>
        <w:trPr>
          <w:trHeight w:val="257"/>
        </w:trPr>
        <w:tc>
          <w:tcPr>
            <w:tcW w:w="32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Date of Authentication:</w:t>
            </w:r>
          </w:p>
        </w:tc>
        <w:tc>
          <w:tcPr>
            <w:tcW w:w="536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w w:val="99"/>
              </w:rPr>
              <w:t>The Bank of New York Mellon Trust Company,</w:t>
            </w:r>
          </w:p>
        </w:tc>
      </w:tr>
      <w:tr>
        <w:trPr>
          <w:trHeight w:val="282"/>
        </w:trPr>
        <w:tc>
          <w:tcPr>
            <w:tcW w:w="3220" w:type="dxa"/>
            <w:vAlign w:val="bottom"/>
          </w:tcPr>
          <w:p>
            <w:pPr>
              <w:spacing w:after="0"/>
              <w:rPr>
                <w:sz w:val="24"/>
                <w:szCs w:val="24"/>
                <w:color w:val="auto"/>
              </w:rPr>
            </w:pPr>
          </w:p>
        </w:tc>
        <w:tc>
          <w:tcPr>
            <w:tcW w:w="536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rPr>
              <w:t>N.A., as Trustee</w:t>
            </w:r>
          </w:p>
        </w:tc>
      </w:tr>
      <w:tr>
        <w:trPr>
          <w:trHeight w:val="474"/>
        </w:trPr>
        <w:tc>
          <w:tcPr>
            <w:tcW w:w="3220" w:type="dxa"/>
            <w:vAlign w:val="bottom"/>
          </w:tcPr>
          <w:p>
            <w:pPr>
              <w:spacing w:after="0"/>
              <w:rPr>
                <w:sz w:val="24"/>
                <w:szCs w:val="24"/>
                <w:color w:val="auto"/>
              </w:rPr>
            </w:pPr>
          </w:p>
        </w:tc>
        <w:tc>
          <w:tcPr>
            <w:tcW w:w="536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rPr>
              <w:t>By: ​</w:t>
            </w:r>
          </w:p>
        </w:tc>
      </w:tr>
      <w:tr>
        <w:trPr>
          <w:trHeight w:val="289"/>
        </w:trPr>
        <w:tc>
          <w:tcPr>
            <w:tcW w:w="3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5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Authorized Officer</w:t>
            </w:r>
          </w:p>
        </w:tc>
        <w:tc>
          <w:tcPr>
            <w:tcW w:w="320" w:type="dxa"/>
            <w:vAlign w:val="bottom"/>
          </w:tcPr>
          <w:p>
            <w:pPr>
              <w:spacing w:after="0"/>
              <w:rPr>
                <w:sz w:val="24"/>
                <w:szCs w:val="24"/>
                <w:color w:val="auto"/>
              </w:rPr>
            </w:pPr>
          </w:p>
        </w:tc>
      </w:tr>
      <w:tr>
        <w:trPr>
          <w:trHeight w:val="1331"/>
        </w:trPr>
        <w:tc>
          <w:tcPr>
            <w:tcW w:w="3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184" w:name="page185"/>
    <w:bookmarkEnd w:id="184"/>
    <w:p>
      <w:pPr>
        <w:jc w:val="center"/>
        <w:ind w:right="19"/>
        <w:spacing w:after="0"/>
        <w:rPr>
          <w:sz w:val="20"/>
          <w:szCs w:val="20"/>
          <w:color w:val="auto"/>
        </w:rPr>
      </w:pPr>
      <w:r>
        <w:rPr>
          <w:rFonts w:ascii="Times New Roman" w:cs="Times New Roman" w:eastAsia="Times New Roman" w:hAnsi="Times New Roman"/>
          <w:sz w:val="22"/>
          <w:szCs w:val="22"/>
          <w:color w:val="auto"/>
        </w:rPr>
        <w:t>REVERSE OF BOOK-ENTRY SECURITY</w:t>
      </w:r>
    </w:p>
    <w:p>
      <w:pPr>
        <w:spacing w:after="0" w:line="27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WASTE MANAGEMENT, INC.</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4.650% SENIOR NOTES DUE 2030</w:t>
      </w:r>
    </w:p>
    <w:p>
      <w:pPr>
        <w:spacing w:after="0" w:line="274"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4.650% Senior Notes due 2030 of the Company, in initial aggregate principal amount of $700,000,000 (the “Securities”).</w:t>
      </w:r>
    </w:p>
    <w:p>
      <w:pPr>
        <w:spacing w:after="0" w:line="181" w:lineRule="exact"/>
        <w:rPr>
          <w:sz w:val="20"/>
          <w:szCs w:val="20"/>
          <w:color w:val="auto"/>
        </w:rPr>
      </w:pPr>
    </w:p>
    <w:p>
      <w:pPr>
        <w:ind w:left="1500" w:hanging="643"/>
        <w:spacing w:after="0"/>
        <w:tabs>
          <w:tab w:leader="none" w:pos="150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Interest.</w:t>
      </w:r>
    </w:p>
    <w:p>
      <w:pPr>
        <w:spacing w:after="0" w:line="224"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The Company promises to pay interest on the principal amount of this Security at the rate of 4.650% per annum.</w:t>
      </w:r>
    </w:p>
    <w:p>
      <w:pPr>
        <w:spacing w:after="0" w:line="171"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The Company will pay interest semi-annually on March 15 and September 15 of each year (each an “Interest Payment Date”), commencing March 15, 2025. Interest on the Securities will accrue from the most recent date to which interest has been paid or, if no interest has been paid on the Securities, from November 4, 2024.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4.650% per annum, in each case to the extent lawful.</w:t>
      </w:r>
    </w:p>
    <w:p>
      <w:pPr>
        <w:spacing w:after="0" w:line="187" w:lineRule="exact"/>
        <w:rPr>
          <w:sz w:val="20"/>
          <w:szCs w:val="20"/>
          <w:color w:val="auto"/>
        </w:rPr>
      </w:pPr>
    </w:p>
    <w:p>
      <w:pPr>
        <w:ind w:left="1500" w:hanging="643"/>
        <w:spacing w:after="0"/>
        <w:tabs>
          <w:tab w:leader="none" w:pos="150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Method of Payment.</w:t>
      </w:r>
    </w:p>
    <w:p>
      <w:pPr>
        <w:spacing w:after="0" w:line="224"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1"/>
          <w:szCs w:val="21"/>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473710</wp:posOffset>
            </wp:positionV>
            <wp:extent cx="545211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5" w:name="page186"/>
    <w:bookmarkEnd w:id="185"/>
    <w:p>
      <w:pPr>
        <w:jc w:val="both"/>
        <w:ind w:left="200" w:right="219"/>
        <w:spacing w:after="0" w:line="250" w:lineRule="auto"/>
        <w:rPr>
          <w:sz w:val="20"/>
          <w:szCs w:val="20"/>
          <w:color w:val="auto"/>
        </w:rPr>
      </w:pPr>
      <w:r>
        <w:rPr>
          <w:rFonts w:ascii="Times New Roman" w:cs="Times New Roman" w:eastAsia="Times New Roman" w:hAnsi="Times New Roman"/>
          <w:sz w:val="22"/>
          <w:szCs w:val="22"/>
          <w:color w:val="auto"/>
        </w:rPr>
        <w:t>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176" w:lineRule="exact"/>
        <w:rPr>
          <w:sz w:val="20"/>
          <w:szCs w:val="20"/>
          <w:color w:val="auto"/>
        </w:rPr>
      </w:pPr>
    </w:p>
    <w:p>
      <w:pPr>
        <w:ind w:left="1500" w:hanging="643"/>
        <w:spacing w:after="0"/>
        <w:tabs>
          <w:tab w:leader="none" w:pos="15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Paying Agent and Registrar.</w:t>
      </w:r>
    </w:p>
    <w:p>
      <w:pPr>
        <w:spacing w:after="0" w:line="224"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5" w:lineRule="exact"/>
        <w:rPr>
          <w:sz w:val="20"/>
          <w:szCs w:val="20"/>
          <w:color w:val="auto"/>
        </w:rPr>
      </w:pPr>
    </w:p>
    <w:p>
      <w:pPr>
        <w:ind w:left="1500" w:hanging="643"/>
        <w:spacing w:after="0"/>
        <w:tabs>
          <w:tab w:leader="none" w:pos="150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Indenture.</w:t>
      </w:r>
    </w:p>
    <w:p>
      <w:pPr>
        <w:spacing w:after="0" w:line="224"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Security is one of a duly authorized issue of Debt Securities of the Company issued and to be issued in one or more series under the Indenture.</w:t>
      </w:r>
    </w:p>
    <w:p>
      <w:pPr>
        <w:spacing w:after="0" w:line="158" w:lineRule="exact"/>
        <w:rPr>
          <w:sz w:val="20"/>
          <w:szCs w:val="20"/>
          <w:color w:val="auto"/>
        </w:rPr>
      </w:pPr>
    </w:p>
    <w:p>
      <w:pPr>
        <w:jc w:val="both"/>
        <w:ind w:left="200" w:right="219" w:firstLine="667"/>
        <w:spacing w:after="0" w:line="245" w:lineRule="auto"/>
        <w:rPr>
          <w:sz w:val="20"/>
          <w:szCs w:val="20"/>
          <w:color w:val="auto"/>
        </w:rPr>
      </w:pPr>
      <w:r>
        <w:rPr>
          <w:rFonts w:ascii="Times New Roman" w:cs="Times New Roman" w:eastAsia="Times New Roman" w:hAnsi="Times New Roman"/>
          <w:sz w:val="22"/>
          <w:szCs w:val="22"/>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August 21, 2023, August 26, 2024 and October 3, 2024 (the “Resolutions”) and the written consent of the Sole Director of Waste Management Holdings, Inc. on October 3, 2024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$700,000,000.</w:t>
      </w:r>
    </w:p>
    <w:p>
      <w:pPr>
        <w:spacing w:after="0" w:line="191" w:lineRule="exact"/>
        <w:rPr>
          <w:sz w:val="20"/>
          <w:szCs w:val="20"/>
          <w:color w:val="auto"/>
        </w:rPr>
      </w:pPr>
    </w:p>
    <w:p>
      <w:pPr>
        <w:ind w:left="1500" w:hanging="643"/>
        <w:spacing w:after="0"/>
        <w:tabs>
          <w:tab w:leader="none" w:pos="150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w:t>
      </w:r>
    </w:p>
    <w:p>
      <w:pPr>
        <w:spacing w:after="0" w:line="224"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Prior to the Par Call Date, the Company may redeem the Securities at its option, in whole or in part, at any time and from time to time, at a Redemption Price (expressed as a percentage of principal amount and rounded to three decimal places) equal to the greater of:</w:t>
      </w:r>
    </w:p>
    <w:p>
      <w:pPr>
        <w:spacing w:after="0" w:line="173" w:lineRule="exact"/>
        <w:rPr>
          <w:sz w:val="20"/>
          <w:szCs w:val="20"/>
          <w:color w:val="auto"/>
        </w:rPr>
      </w:pPr>
    </w:p>
    <w:p>
      <w:pPr>
        <w:jc w:val="both"/>
        <w:ind w:left="860" w:right="219" w:firstLine="15"/>
        <w:spacing w:after="0" w:line="253" w:lineRule="auto"/>
        <w:tabs>
          <w:tab w:leader="none" w:pos="119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10 basis points, less (b) interest accrued to the Redemption Date, and</w:t>
      </w:r>
    </w:p>
    <w:p>
      <w:pPr>
        <w:spacing w:after="0" w:line="178" w:lineRule="exact"/>
        <w:rPr>
          <w:rFonts w:ascii="Times New Roman" w:cs="Times New Roman" w:eastAsia="Times New Roman" w:hAnsi="Times New Roman"/>
          <w:sz w:val="22"/>
          <w:szCs w:val="22"/>
          <w:color w:val="auto"/>
        </w:rPr>
      </w:pPr>
    </w:p>
    <w:p>
      <w:pPr>
        <w:ind w:left="1180" w:hanging="305"/>
        <w:spacing w:after="0"/>
        <w:tabs>
          <w:tab w:leader="none" w:pos="118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Securities to be redeemed,</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636905</wp:posOffset>
            </wp:positionV>
            <wp:extent cx="545211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6" w:name="page187"/>
    <w:bookmarkEnd w:id="186"/>
    <w:p>
      <w:pPr>
        <w:jc w:val="both"/>
        <w:ind w:left="200" w:right="219" w:firstLine="667"/>
        <w:spacing w:after="0" w:line="256" w:lineRule="auto"/>
        <w:rPr>
          <w:sz w:val="20"/>
          <w:szCs w:val="20"/>
          <w:color w:val="auto"/>
        </w:rPr>
      </w:pPr>
      <w:r>
        <w:rPr>
          <w:rFonts w:ascii="Times New Roman" w:cs="Times New Roman" w:eastAsia="Times New Roman" w:hAnsi="Times New Roman"/>
          <w:sz w:val="22"/>
          <w:szCs w:val="22"/>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“Par Call Date” means February 15, 2030.</w:t>
      </w:r>
    </w:p>
    <w:p>
      <w:pPr>
        <w:spacing w:after="0" w:line="220"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“Treasury Rate” means, with respect to any Redemption Date, the yield determined by the Company in accordance with the following two paragraphs.</w:t>
      </w:r>
    </w:p>
    <w:p>
      <w:pPr>
        <w:spacing w:after="0" w:line="158"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1"/>
          <w:szCs w:val="21"/>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4"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1"/>
          <w:szCs w:val="21"/>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474345</wp:posOffset>
            </wp:positionV>
            <wp:extent cx="545211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7" w:name="page188"/>
    <w:bookmarkEnd w:id="187"/>
    <w:p>
      <w:pPr>
        <w:jc w:val="both"/>
        <w:ind w:left="200" w:right="219"/>
        <w:spacing w:after="0" w:line="263" w:lineRule="auto"/>
        <w:rPr>
          <w:sz w:val="20"/>
          <w:szCs w:val="20"/>
          <w:color w:val="auto"/>
        </w:rPr>
      </w:pPr>
      <w:r>
        <w:rPr>
          <w:rFonts w:ascii="Times New Roman" w:cs="Times New Roman" w:eastAsia="Times New Roman" w:hAnsi="Times New Roman"/>
          <w:sz w:val="22"/>
          <w:szCs w:val="22"/>
          <w:color w:val="auto"/>
        </w:rPr>
        <w:t>security shall be based upon the average of the bid and asked prices (expressed as a percentage of principal amount) at 11:00 a.m., New York City time, of such United States Treasury security, and rounded to three decimal places.</w:t>
      </w:r>
    </w:p>
    <w:p>
      <w:pPr>
        <w:spacing w:after="0" w:line="167" w:lineRule="exact"/>
        <w:rPr>
          <w:sz w:val="20"/>
          <w:szCs w:val="20"/>
          <w:color w:val="auto"/>
        </w:rPr>
      </w:pPr>
    </w:p>
    <w:p>
      <w:pPr>
        <w:jc w:val="both"/>
        <w:ind w:left="200" w:right="219" w:firstLine="667"/>
        <w:spacing w:after="0" w:line="250" w:lineRule="auto"/>
        <w:rPr>
          <w:sz w:val="20"/>
          <w:szCs w:val="20"/>
          <w:color w:val="auto"/>
        </w:rPr>
      </w:pPr>
      <w:r>
        <w:rPr>
          <w:rFonts w:ascii="Times New Roman" w:cs="Times New Roman" w:eastAsia="Times New Roman" w:hAnsi="Times New Roman"/>
          <w:sz w:val="22"/>
          <w:szCs w:val="22"/>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81"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1"/>
          <w:szCs w:val="21"/>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73"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Except as set forth above, the Securities will not be redeemable prior to their Stated Maturity and will not be entitled to the benefit of any sinking fund.</w:t>
      </w:r>
    </w:p>
    <w:p>
      <w:pPr>
        <w:spacing w:after="0" w:line="158"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The Securities may be redeemed in part in a minimum principal amount of $2,000, or any integral multiple of $1,000 in excess thereof.</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Any such redemption will also comply with Article Eleven of the Indenture.</w:t>
      </w:r>
    </w:p>
    <w:p>
      <w:pPr>
        <w:spacing w:after="0" w:line="216" w:lineRule="exact"/>
        <w:rPr>
          <w:sz w:val="20"/>
          <w:szCs w:val="20"/>
          <w:color w:val="auto"/>
        </w:rPr>
      </w:pPr>
    </w:p>
    <w:p>
      <w:pPr>
        <w:ind w:left="1500" w:hanging="643"/>
        <w:spacing w:after="0"/>
        <w:tabs>
          <w:tab w:leader="none" w:pos="150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of Control Offer.</w:t>
      </w:r>
    </w:p>
    <w:p>
      <w:pPr>
        <w:spacing w:after="0" w:line="22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239" w:lineRule="exact"/>
        <w:rPr>
          <w:sz w:val="20"/>
          <w:szCs w:val="20"/>
          <w:color w:val="auto"/>
        </w:rPr>
      </w:pPr>
    </w:p>
    <w:p>
      <w:pPr>
        <w:jc w:val="both"/>
        <w:ind w:left="200" w:right="239" w:firstLine="648"/>
        <w:spacing w:after="0" w:line="271" w:lineRule="auto"/>
        <w:rPr>
          <w:sz w:val="20"/>
          <w:szCs w:val="20"/>
          <w:color w:val="auto"/>
        </w:rPr>
      </w:pPr>
      <w:r>
        <w:rPr>
          <w:rFonts w:ascii="Times New Roman" w:cs="Times New Roman" w:eastAsia="Times New Roman" w:hAnsi="Times New Roman"/>
          <w:sz w:val="22"/>
          <w:szCs w:val="22"/>
          <w:color w:val="auto"/>
        </w:rPr>
        <w:t>Within 30 days following any Change of Control Triggering Event or, at the Company’s option, prior to any Change of Control, but after public announcement of the transaction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8" w:name="page189"/>
    <w:bookmarkEnd w:id="188"/>
    <w:p>
      <w:pPr>
        <w:jc w:val="both"/>
        <w:ind w:left="200" w:right="219"/>
        <w:spacing w:after="0" w:line="249" w:lineRule="auto"/>
        <w:rPr>
          <w:sz w:val="20"/>
          <w:szCs w:val="20"/>
          <w:color w:val="auto"/>
        </w:rPr>
      </w:pPr>
      <w:r>
        <w:rPr>
          <w:rFonts w:ascii="Times New Roman" w:cs="Times New Roman" w:eastAsia="Times New Roman" w:hAnsi="Times New Roman"/>
          <w:sz w:val="22"/>
          <w:szCs w:val="22"/>
          <w:color w:val="auto"/>
        </w:rPr>
        <w:t>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Upon the Change of Control Payment Date, the Company shall, to the extent lawful:</w:t>
      </w:r>
    </w:p>
    <w:p>
      <w:pPr>
        <w:spacing w:after="0" w:line="287" w:lineRule="exact"/>
        <w:rPr>
          <w:sz w:val="20"/>
          <w:szCs w:val="20"/>
          <w:color w:val="auto"/>
        </w:rPr>
      </w:pPr>
    </w:p>
    <w:p>
      <w:pPr>
        <w:ind w:left="1500" w:right="219" w:hanging="643"/>
        <w:spacing w:after="0" w:line="271" w:lineRule="auto"/>
        <w:tabs>
          <w:tab w:leader="none" w:pos="117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accept for payment all Securities or portions of Securities properly tendered and not withdrawn pursuant to the Change of Control Offer;</w:t>
      </w:r>
    </w:p>
    <w:p>
      <w:pPr>
        <w:spacing w:after="0" w:line="157" w:lineRule="exact"/>
        <w:rPr>
          <w:rFonts w:ascii="Times New Roman" w:cs="Times New Roman" w:eastAsia="Times New Roman" w:hAnsi="Times New Roman"/>
          <w:sz w:val="18"/>
          <w:szCs w:val="18"/>
          <w:color w:val="auto"/>
        </w:rPr>
      </w:pPr>
    </w:p>
    <w:p>
      <w:pPr>
        <w:ind w:left="1500" w:right="219" w:hanging="643"/>
        <w:spacing w:after="0" w:line="271" w:lineRule="auto"/>
        <w:tabs>
          <w:tab w:leader="none" w:pos="117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deposit with the Paying Agent an amount equal to the Change of Control Payment in respect of all Securities or portions of Securities properly tendered; and</w:t>
      </w:r>
    </w:p>
    <w:p>
      <w:pPr>
        <w:spacing w:after="0" w:line="157" w:lineRule="exact"/>
        <w:rPr>
          <w:rFonts w:ascii="Times New Roman" w:cs="Times New Roman" w:eastAsia="Times New Roman" w:hAnsi="Times New Roman"/>
          <w:sz w:val="18"/>
          <w:szCs w:val="18"/>
          <w:color w:val="auto"/>
        </w:rPr>
      </w:pPr>
    </w:p>
    <w:p>
      <w:pPr>
        <w:ind w:left="1500" w:right="219" w:hanging="643"/>
        <w:spacing w:after="0" w:line="257" w:lineRule="auto"/>
        <w:tabs>
          <w:tab w:leader="none" w:pos="117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3"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249"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239"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For purposes of the Change of Control Offer provisions of the Securities, the following terms are applicable:</w:t>
      </w:r>
    </w:p>
    <w:p>
      <w:pPr>
        <w:spacing w:after="0" w:line="225" w:lineRule="exact"/>
        <w:rPr>
          <w:sz w:val="20"/>
          <w:szCs w:val="20"/>
          <w:color w:val="auto"/>
        </w:rPr>
      </w:pPr>
    </w:p>
    <w:p>
      <w:pPr>
        <w:jc w:val="both"/>
        <w:ind w:left="200" w:right="219" w:firstLine="667"/>
        <w:spacing w:after="0" w:line="263" w:lineRule="auto"/>
        <w:rPr>
          <w:sz w:val="20"/>
          <w:szCs w:val="20"/>
          <w:color w:val="auto"/>
        </w:rPr>
      </w:pPr>
      <w:r>
        <w:rPr>
          <w:rFonts w:ascii="Times New Roman" w:cs="Times New Roman" w:eastAsia="Times New Roman" w:hAnsi="Times New Roman"/>
          <w:sz w:val="21"/>
          <w:szCs w:val="21"/>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466725</wp:posOffset>
            </wp:positionV>
            <wp:extent cx="545211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9" w:name="page190"/>
    <w:bookmarkEnd w:id="189"/>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93"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1" w:lineRule="exact"/>
        <w:rPr>
          <w:sz w:val="20"/>
          <w:szCs w:val="20"/>
          <w:color w:val="auto"/>
        </w:rPr>
      </w:pPr>
    </w:p>
    <w:p>
      <w:pPr>
        <w:jc w:val="both"/>
        <w:ind w:left="200" w:right="239" w:firstLine="667"/>
        <w:spacing w:after="0" w:line="271" w:lineRule="auto"/>
        <w:rPr>
          <w:sz w:val="20"/>
          <w:szCs w:val="20"/>
          <w:color w:val="auto"/>
        </w:rPr>
      </w:pPr>
      <w:r>
        <w:rPr>
          <w:rFonts w:ascii="Times New Roman" w:cs="Times New Roman" w:eastAsia="Times New Roman" w:hAnsi="Times New Roman"/>
          <w:sz w:val="22"/>
          <w:szCs w:val="22"/>
          <w:color w:val="auto"/>
        </w:rPr>
        <w:t>“Change of Control Triggering Event” means the occurrence of both a Change of Control and a Rating Event.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“Fitch” means Fitch Inc. and its successors.</w:t>
      </w:r>
    </w:p>
    <w:p>
      <w:pPr>
        <w:spacing w:after="0" w:line="220"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“Moody’s” means Moody’s Investors Service, Inc. and its successors.</w:t>
      </w:r>
    </w:p>
    <w:p>
      <w:pPr>
        <w:spacing w:after="0" w:line="220" w:lineRule="exact"/>
        <w:rPr>
          <w:sz w:val="20"/>
          <w:szCs w:val="20"/>
          <w:color w:val="auto"/>
        </w:rPr>
      </w:pPr>
    </w:p>
    <w:p>
      <w:pPr>
        <w:jc w:val="both"/>
        <w:ind w:left="200" w:right="219" w:firstLine="667"/>
        <w:spacing w:after="0" w:line="251" w:lineRule="auto"/>
        <w:rPr>
          <w:sz w:val="20"/>
          <w:szCs w:val="20"/>
          <w:color w:val="auto"/>
        </w:rPr>
      </w:pPr>
      <w:r>
        <w:rPr>
          <w:rFonts w:ascii="Times New Roman" w:cs="Times New Roman" w:eastAsia="Times New Roman" w:hAnsi="Times New Roman"/>
          <w:sz w:val="22"/>
          <w:szCs w:val="22"/>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81" w:lineRule="exact"/>
        <w:rPr>
          <w:sz w:val="20"/>
          <w:szCs w:val="20"/>
          <w:color w:val="auto"/>
        </w:rPr>
      </w:pPr>
    </w:p>
    <w:p>
      <w:pPr>
        <w:jc w:val="both"/>
        <w:ind w:left="200" w:right="219" w:firstLine="667"/>
        <w:spacing w:after="0" w:line="268" w:lineRule="auto"/>
        <w:rPr>
          <w:sz w:val="20"/>
          <w:szCs w:val="20"/>
          <w:color w:val="auto"/>
        </w:rPr>
      </w:pPr>
      <w:r>
        <w:rPr>
          <w:rFonts w:ascii="Times New Roman" w:cs="Times New Roman" w:eastAsia="Times New Roman" w:hAnsi="Times New Roman"/>
          <w:sz w:val="21"/>
          <w:szCs w:val="21"/>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464185</wp:posOffset>
            </wp:positionV>
            <wp:extent cx="545211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0" w:name="page191"/>
    <w:bookmarkEnd w:id="190"/>
    <w:p>
      <w:pPr>
        <w:jc w:val="both"/>
        <w:ind w:left="200" w:right="219"/>
        <w:spacing w:after="0" w:line="263" w:lineRule="auto"/>
        <w:rPr>
          <w:sz w:val="20"/>
          <w:szCs w:val="20"/>
          <w:color w:val="auto"/>
        </w:rPr>
      </w:pPr>
      <w:r>
        <w:rPr>
          <w:rFonts w:ascii="Times New Roman" w:cs="Times New Roman" w:eastAsia="Times New Roman" w:hAnsi="Times New Roman"/>
          <w:sz w:val="22"/>
          <w:szCs w:val="22"/>
          <w:color w:val="auto"/>
        </w:rPr>
        <w:t>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“S&amp;P” means S&amp;P Global Ratings, a division of S&amp;P Global Inc., and its successors.</w:t>
      </w:r>
    </w:p>
    <w:p>
      <w:pPr>
        <w:spacing w:after="0" w:line="220"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9" w:lineRule="exact"/>
        <w:rPr>
          <w:sz w:val="20"/>
          <w:szCs w:val="20"/>
          <w:color w:val="auto"/>
        </w:rPr>
      </w:pPr>
    </w:p>
    <w:p>
      <w:pPr>
        <w:ind w:left="1500" w:hanging="643"/>
        <w:spacing w:after="0"/>
        <w:tabs>
          <w:tab w:leader="none" w:pos="15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Denominations; Transfer; Exchange.</w:t>
      </w:r>
    </w:p>
    <w:p>
      <w:pPr>
        <w:spacing w:after="0" w:line="224" w:lineRule="exact"/>
        <w:rPr>
          <w:sz w:val="20"/>
          <w:szCs w:val="20"/>
          <w:color w:val="auto"/>
        </w:rPr>
      </w:pPr>
    </w:p>
    <w:p>
      <w:pPr>
        <w:jc w:val="both"/>
        <w:ind w:left="200" w:right="219" w:firstLine="667"/>
        <w:spacing w:after="0" w:line="250" w:lineRule="auto"/>
        <w:rPr>
          <w:sz w:val="20"/>
          <w:szCs w:val="20"/>
          <w:color w:val="auto"/>
        </w:rPr>
      </w:pPr>
      <w:r>
        <w:rPr>
          <w:rFonts w:ascii="Times New Roman" w:cs="Times New Roman" w:eastAsia="Times New Roman" w:hAnsi="Times New Roman"/>
          <w:sz w:val="22"/>
          <w:szCs w:val="22"/>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77" w:lineRule="exact"/>
        <w:rPr>
          <w:sz w:val="20"/>
          <w:szCs w:val="20"/>
          <w:color w:val="auto"/>
        </w:rPr>
      </w:pPr>
    </w:p>
    <w:p>
      <w:pPr>
        <w:ind w:left="1500" w:hanging="643"/>
        <w:spacing w:after="0"/>
        <w:tabs>
          <w:tab w:leader="none" w:pos="15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Person Deemed Owners.</w:t>
      </w:r>
    </w:p>
    <w:p>
      <w:pPr>
        <w:spacing w:after="0" w:line="2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registered Holder of a Security may be treated as the owner of it for all purposes.</w:t>
      </w:r>
    </w:p>
    <w:p>
      <w:pPr>
        <w:spacing w:after="0" w:line="216" w:lineRule="exact"/>
        <w:rPr>
          <w:sz w:val="20"/>
          <w:szCs w:val="20"/>
          <w:color w:val="auto"/>
        </w:rPr>
      </w:pPr>
    </w:p>
    <w:p>
      <w:pPr>
        <w:ind w:left="1500" w:hanging="643"/>
        <w:spacing w:after="0"/>
        <w:tabs>
          <w:tab w:leader="none" w:pos="15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 Supplement; Waiver.</w:t>
      </w:r>
    </w:p>
    <w:p>
      <w:pPr>
        <w:spacing w:after="0" w:line="224"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1" w:lineRule="exact"/>
        <w:rPr>
          <w:sz w:val="20"/>
          <w:szCs w:val="20"/>
          <w:color w:val="auto"/>
        </w:rPr>
      </w:pPr>
    </w:p>
    <w:p>
      <w:pPr>
        <w:ind w:left="1500" w:hanging="643"/>
        <w:spacing w:after="0"/>
        <w:tabs>
          <w:tab w:leader="none" w:pos="15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Defaults and Remedies.</w:t>
      </w:r>
    </w:p>
    <w:p>
      <w:pPr>
        <w:spacing w:after="0" w:line="224" w:lineRule="exact"/>
        <w:rPr>
          <w:sz w:val="20"/>
          <w:szCs w:val="20"/>
          <w:color w:val="auto"/>
        </w:rPr>
      </w:pPr>
    </w:p>
    <w:p>
      <w:pPr>
        <w:jc w:val="both"/>
        <w:ind w:left="200" w:right="219" w:firstLine="667"/>
        <w:spacing w:after="0" w:line="260" w:lineRule="auto"/>
        <w:rPr>
          <w:sz w:val="20"/>
          <w:szCs w:val="20"/>
          <w:color w:val="auto"/>
        </w:rPr>
      </w:pPr>
      <w:r>
        <w:rPr>
          <w:rFonts w:ascii="Times New Roman" w:cs="Times New Roman" w:eastAsia="Times New Roman" w:hAnsi="Times New Roman"/>
          <w:sz w:val="21"/>
          <w:szCs w:val="21"/>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473710</wp:posOffset>
            </wp:positionV>
            <wp:extent cx="545211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1" w:name="page192"/>
    <w:bookmarkEnd w:id="191"/>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189" w:lineRule="exact"/>
        <w:rPr>
          <w:sz w:val="20"/>
          <w:szCs w:val="20"/>
          <w:color w:val="auto"/>
        </w:rPr>
      </w:pPr>
    </w:p>
    <w:p>
      <w:pPr>
        <w:ind w:left="1500" w:hanging="643"/>
        <w:spacing w:after="0"/>
        <w:tabs>
          <w:tab w:leader="none" w:pos="15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Trustee Dealings with Company.</w:t>
      </w:r>
    </w:p>
    <w:p>
      <w:pPr>
        <w:spacing w:after="0" w:line="224"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75" w:lineRule="exact"/>
        <w:rPr>
          <w:sz w:val="20"/>
          <w:szCs w:val="20"/>
          <w:color w:val="auto"/>
        </w:rPr>
      </w:pPr>
    </w:p>
    <w:p>
      <w:pPr>
        <w:ind w:left="1500" w:hanging="643"/>
        <w:spacing w:after="0"/>
        <w:tabs>
          <w:tab w:leader="none" w:pos="15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Authentication.</w:t>
      </w:r>
    </w:p>
    <w:p>
      <w:pPr>
        <w:spacing w:after="0" w:line="224"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Security shall not be valid until the Trustee or authenticating agent signs the certificate of authentication on the other side of this Security.</w:t>
      </w:r>
    </w:p>
    <w:p>
      <w:pPr>
        <w:spacing w:after="0" w:line="154" w:lineRule="exact"/>
        <w:rPr>
          <w:sz w:val="20"/>
          <w:szCs w:val="20"/>
          <w:color w:val="auto"/>
        </w:rPr>
      </w:pPr>
    </w:p>
    <w:p>
      <w:pPr>
        <w:ind w:left="1500" w:hanging="643"/>
        <w:spacing w:after="0"/>
        <w:tabs>
          <w:tab w:leader="none" w:pos="150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Abbreviations and Defined Terms.</w:t>
      </w:r>
    </w:p>
    <w:p>
      <w:pPr>
        <w:spacing w:after="0" w:line="224"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5" w:lineRule="exact"/>
        <w:rPr>
          <w:sz w:val="20"/>
          <w:szCs w:val="20"/>
          <w:color w:val="auto"/>
        </w:rPr>
      </w:pPr>
    </w:p>
    <w:p>
      <w:pPr>
        <w:ind w:left="1500" w:hanging="643"/>
        <w:spacing w:after="0"/>
        <w:tabs>
          <w:tab w:leader="none" w:pos="15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CUSIP Numbers.</w:t>
      </w:r>
    </w:p>
    <w:p>
      <w:pPr>
        <w:spacing w:after="0" w:line="224" w:lineRule="exact"/>
        <w:rPr>
          <w:sz w:val="20"/>
          <w:szCs w:val="20"/>
          <w:color w:val="auto"/>
        </w:rPr>
      </w:pPr>
    </w:p>
    <w:p>
      <w:pPr>
        <w:jc w:val="both"/>
        <w:ind w:left="200" w:right="219" w:firstLine="667"/>
        <w:spacing w:after="0" w:line="250" w:lineRule="auto"/>
        <w:rPr>
          <w:sz w:val="20"/>
          <w:szCs w:val="20"/>
          <w:color w:val="auto"/>
        </w:rPr>
      </w:pPr>
      <w:r>
        <w:rPr>
          <w:rFonts w:ascii="Times New Roman" w:cs="Times New Roman" w:eastAsia="Times New Roman" w:hAnsi="Times New Roman"/>
          <w:sz w:val="22"/>
          <w:szCs w:val="22"/>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7" w:lineRule="exact"/>
        <w:rPr>
          <w:sz w:val="20"/>
          <w:szCs w:val="20"/>
          <w:color w:val="auto"/>
        </w:rPr>
      </w:pPr>
    </w:p>
    <w:p>
      <w:pPr>
        <w:ind w:left="1500" w:hanging="643"/>
        <w:spacing w:after="0"/>
        <w:tabs>
          <w:tab w:leader="none" w:pos="15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Absolute Obligation.</w:t>
      </w:r>
    </w:p>
    <w:p>
      <w:pPr>
        <w:spacing w:after="0" w:line="224" w:lineRule="exact"/>
        <w:rPr>
          <w:sz w:val="20"/>
          <w:szCs w:val="20"/>
          <w:color w:val="auto"/>
        </w:rPr>
      </w:pPr>
    </w:p>
    <w:p>
      <w:pPr>
        <w:jc w:val="both"/>
        <w:ind w:left="200" w:right="219" w:firstLine="667"/>
        <w:spacing w:after="0" w:line="256" w:lineRule="auto"/>
        <w:rPr>
          <w:sz w:val="20"/>
          <w:szCs w:val="20"/>
          <w:color w:val="auto"/>
        </w:rPr>
      </w:pPr>
      <w:r>
        <w:rPr>
          <w:rFonts w:ascii="Times New Roman" w:cs="Times New Roman" w:eastAsia="Times New Roman" w:hAnsi="Times New Roman"/>
          <w:sz w:val="22"/>
          <w:szCs w:val="22"/>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609600</wp:posOffset>
            </wp:positionV>
            <wp:extent cx="545211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2" w:name="page193"/>
    <w:bookmarkEnd w:id="192"/>
    <w:p>
      <w:pPr>
        <w:ind w:left="1500" w:hanging="643"/>
        <w:spacing w:after="0"/>
        <w:tabs>
          <w:tab w:leader="none" w:pos="150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Recourse.</w:t>
      </w:r>
    </w:p>
    <w:p>
      <w:pPr>
        <w:spacing w:after="0" w:line="224" w:lineRule="exact"/>
        <w:rPr>
          <w:sz w:val="20"/>
          <w:szCs w:val="20"/>
          <w:color w:val="auto"/>
        </w:rPr>
      </w:pPr>
    </w:p>
    <w:p>
      <w:pPr>
        <w:jc w:val="both"/>
        <w:ind w:left="200" w:right="219" w:firstLine="667"/>
        <w:spacing w:after="0" w:line="249" w:lineRule="auto"/>
        <w:rPr>
          <w:sz w:val="20"/>
          <w:szCs w:val="20"/>
          <w:color w:val="auto"/>
        </w:rPr>
      </w:pPr>
      <w:r>
        <w:rPr>
          <w:rFonts w:ascii="Times New Roman" w:cs="Times New Roman" w:eastAsia="Times New Roman" w:hAnsi="Times New Roman"/>
          <w:sz w:val="22"/>
          <w:szCs w:val="22"/>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78" w:lineRule="exact"/>
        <w:rPr>
          <w:sz w:val="20"/>
          <w:szCs w:val="20"/>
          <w:color w:val="auto"/>
        </w:rPr>
      </w:pPr>
    </w:p>
    <w:p>
      <w:pPr>
        <w:ind w:left="1500" w:hanging="643"/>
        <w:spacing w:after="0"/>
        <w:tabs>
          <w:tab w:leader="none" w:pos="15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w:t>
      </w:r>
    </w:p>
    <w:p>
      <w:pPr>
        <w:spacing w:after="0" w:line="224"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Security shall be construed in accordance with and governed by the laws of the State of New York.</w:t>
      </w:r>
    </w:p>
    <w:p>
      <w:pPr>
        <w:spacing w:after="0" w:line="154" w:lineRule="exact"/>
        <w:rPr>
          <w:sz w:val="20"/>
          <w:szCs w:val="20"/>
          <w:color w:val="auto"/>
        </w:rPr>
      </w:pPr>
    </w:p>
    <w:p>
      <w:pPr>
        <w:ind w:left="1500" w:hanging="643"/>
        <w:spacing w:after="0"/>
        <w:tabs>
          <w:tab w:leader="none" w:pos="150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Guarantee.</w:t>
      </w:r>
    </w:p>
    <w:p>
      <w:pPr>
        <w:spacing w:after="0" w:line="224" w:lineRule="exact"/>
        <w:rPr>
          <w:sz w:val="20"/>
          <w:szCs w:val="20"/>
          <w:color w:val="auto"/>
        </w:rPr>
      </w:pPr>
    </w:p>
    <w:p>
      <w:pPr>
        <w:jc w:val="both"/>
        <w:ind w:left="200" w:right="219" w:firstLine="667"/>
        <w:spacing w:after="0" w:line="248" w:lineRule="auto"/>
        <w:rPr>
          <w:sz w:val="20"/>
          <w:szCs w:val="20"/>
          <w:color w:val="auto"/>
        </w:rPr>
      </w:pPr>
      <w:r>
        <w:rPr>
          <w:rFonts w:ascii="Times New Roman" w:cs="Times New Roman" w:eastAsia="Times New Roman" w:hAnsi="Times New Roman"/>
          <w:sz w:val="22"/>
          <w:szCs w:val="22"/>
          <w:color w:val="auto"/>
        </w:rPr>
        <w:t>The Securities will be fully and unconditionally guaranteed on a senior basis by the Company’s wholly owned subsidiary, Waste Management Holdings, Inc., pursuant to the terms and conditions of a Guarantee, dated as of November 4,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8" w:lineRule="exact"/>
        <w:rPr>
          <w:sz w:val="20"/>
          <w:szCs w:val="20"/>
          <w:color w:val="auto"/>
        </w:rPr>
      </w:pPr>
    </w:p>
    <w:p>
      <w:pPr>
        <w:ind w:left="1500" w:hanging="625"/>
        <w:spacing w:after="0"/>
        <w:tabs>
          <w:tab w:leader="none" w:pos="150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Satisfaction and Discharge.</w:t>
      </w:r>
    </w:p>
    <w:p>
      <w:pPr>
        <w:spacing w:after="0" w:line="224"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The Securities will be subject to Section 401 of the Indenture; provided, however, that solely with respect to the Securities, Section 401(1)(B) of the Indenture shall be deleted in its entirety and replaced with the following:</w:t>
      </w:r>
    </w:p>
    <w:p>
      <w:pPr>
        <w:spacing w:after="0" w:line="173" w:lineRule="exact"/>
        <w:rPr>
          <w:sz w:val="20"/>
          <w:szCs w:val="20"/>
          <w:color w:val="auto"/>
        </w:rPr>
      </w:pPr>
    </w:p>
    <w:p>
      <w:pPr>
        <w:ind w:left="860" w:right="239" w:firstLine="19"/>
        <w:spacing w:after="0" w:line="271" w:lineRule="auto"/>
        <w:rPr>
          <w:sz w:val="20"/>
          <w:szCs w:val="20"/>
          <w:color w:val="auto"/>
        </w:rPr>
      </w:pPr>
      <w:r>
        <w:rPr>
          <w:rFonts w:ascii="Times New Roman" w:cs="Times New Roman" w:eastAsia="Times New Roman" w:hAnsi="Times New Roman"/>
          <w:sz w:val="22"/>
          <w:szCs w:val="22"/>
          <w:color w:val="auto"/>
        </w:rPr>
        <w:t>“(B) all such Securities and, in the case of (i) or (ii) below, any coupons appertaining thereto not theretofore delivered to the Trustee for cancellation</w:t>
      </w:r>
    </w:p>
    <w:p>
      <w:pPr>
        <w:spacing w:after="0" w:line="158" w:lineRule="exact"/>
        <w:rPr>
          <w:sz w:val="20"/>
          <w:szCs w:val="20"/>
          <w:color w:val="auto"/>
        </w:rPr>
      </w:pPr>
    </w:p>
    <w:p>
      <w:pPr>
        <w:ind w:left="2800" w:hanging="647"/>
        <w:spacing w:after="0"/>
        <w:tabs>
          <w:tab w:leader="none" w:pos="280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become due and payable, or</w:t>
      </w:r>
    </w:p>
    <w:p>
      <w:pPr>
        <w:spacing w:after="0" w:line="219" w:lineRule="exact"/>
        <w:rPr>
          <w:rFonts w:ascii="Times New Roman" w:cs="Times New Roman" w:eastAsia="Times New Roman" w:hAnsi="Times New Roman"/>
          <w:sz w:val="22"/>
          <w:szCs w:val="22"/>
          <w:color w:val="auto"/>
        </w:rPr>
      </w:pPr>
    </w:p>
    <w:p>
      <w:pPr>
        <w:ind w:left="4740" w:hanging="643"/>
        <w:spacing w:after="0"/>
        <w:tabs>
          <w:tab w:leader="none" w:pos="474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become due and payable at their Stated</w:t>
      </w:r>
    </w:p>
    <w:p>
      <w:pPr>
        <w:spacing w:after="0" w:line="27" w:lineRule="exact"/>
        <w:rPr>
          <w:rFonts w:ascii="Times New Roman" w:cs="Times New Roman" w:eastAsia="Times New Roman" w:hAnsi="Times New Roman"/>
          <w:sz w:val="22"/>
          <w:szCs w:val="22"/>
          <w:color w:val="auto"/>
        </w:rPr>
      </w:pPr>
    </w:p>
    <w:p>
      <w:pPr>
        <w:ind w:left="2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Maturity within one year, or</w:t>
      </w:r>
    </w:p>
    <w:p>
      <w:pPr>
        <w:spacing w:after="0" w:line="195" w:lineRule="exact"/>
        <w:rPr>
          <w:rFonts w:ascii="Times New Roman" w:cs="Times New Roman" w:eastAsia="Times New Roman" w:hAnsi="Times New Roman"/>
          <w:sz w:val="22"/>
          <w:szCs w:val="22"/>
          <w:color w:val="auto"/>
        </w:rPr>
      </w:pPr>
    </w:p>
    <w:p>
      <w:pPr>
        <w:jc w:val="both"/>
        <w:ind w:left="2160" w:right="219" w:firstLine="1937"/>
        <w:spacing w:after="0" w:line="275" w:lineRule="auto"/>
        <w:tabs>
          <w:tab w:leader="none" w:pos="4752"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are to be called for redemption within one year under arrangements satisfactory to the Trustee for the giving of notice of redemption by the Trustee in the name, and at the expense, of the Company;</w:t>
      </w:r>
    </w:p>
    <w:p>
      <w:pPr>
        <w:spacing w:after="0" w:line="155" w:lineRule="exact"/>
        <w:rPr>
          <w:sz w:val="20"/>
          <w:szCs w:val="20"/>
          <w:color w:val="auto"/>
        </w:rPr>
      </w:pPr>
    </w:p>
    <w:p>
      <w:pPr>
        <w:jc w:val="both"/>
        <w:ind w:left="200" w:right="219" w:firstLine="667"/>
        <w:spacing w:after="0" w:line="263" w:lineRule="auto"/>
        <w:rPr>
          <w:sz w:val="20"/>
          <w:szCs w:val="20"/>
          <w:color w:val="auto"/>
        </w:rPr>
      </w:pPr>
      <w:r>
        <w:rPr>
          <w:rFonts w:ascii="Times New Roman" w:cs="Times New Roman" w:eastAsia="Times New Roman" w:hAnsi="Times New Roman"/>
          <w:sz w:val="22"/>
          <w:szCs w:val="22"/>
          <w:color w:val="auto"/>
        </w:rPr>
        <w:t>and the Company, in the case of (i), (ii) or (iii) above, has deposited or caused to be deposited with the Trustee as trust funds, U.S. legal tender, U.S. Governmental Obligations or a combination thereof, an amount sufficient to pay and discharge the entire indebtedness on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466725</wp:posOffset>
            </wp:positionV>
            <wp:extent cx="545211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93" w:name="page194"/>
    <w:bookmarkEnd w:id="193"/>
    <w:p>
      <w:pPr>
        <w:jc w:val="both"/>
        <w:ind w:left="200" w:right="219"/>
        <w:spacing w:after="0" w:line="260" w:lineRule="auto"/>
        <w:rPr>
          <w:sz w:val="20"/>
          <w:szCs w:val="20"/>
          <w:color w:val="auto"/>
        </w:rPr>
      </w:pPr>
      <w:r>
        <w:rPr>
          <w:rFonts w:ascii="Times New Roman" w:cs="Times New Roman" w:eastAsia="Times New Roman" w:hAnsi="Times New Roman"/>
          <w:sz w:val="21"/>
          <w:szCs w:val="21"/>
          <w:color w:val="auto"/>
        </w:rPr>
        <w:t>Securities and coupons not theretofore delivered to the Trustee for cancellation, for principal (and premium, if any) and any interest to the date of such deposit (in the case of Securities which have become due and payable) or to the Stated Maturity or Redemption Date, as the case may be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 For purposes of this section, “U.S. Governmental Obligations” means direct non-callable obligations of, or guaranteed by, the United States of America for the payment of which guarantee or obligations the full faith and credit of the United States is pledged.”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1236345</wp:posOffset>
            </wp:positionV>
            <wp:extent cx="545211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4" w:name="page195"/>
    <w:bookmarkEnd w:id="194"/>
    <w:p>
      <w:pPr>
        <w:jc w:val="center"/>
        <w:ind w:right="19"/>
        <w:spacing w:after="0"/>
        <w:rPr>
          <w:sz w:val="20"/>
          <w:szCs w:val="20"/>
          <w:color w:val="auto"/>
        </w:rPr>
      </w:pPr>
      <w:r>
        <w:rPr>
          <w:rFonts w:ascii="Times New Roman" w:cs="Times New Roman" w:eastAsia="Times New Roman" w:hAnsi="Times New Roman"/>
          <w:sz w:val="22"/>
          <w:szCs w:val="22"/>
          <w:color w:val="auto"/>
        </w:rPr>
        <w:t>SCHEDULE OF EXCHANGES OF DEFINITIVE SECURITY</w:t>
      </w:r>
    </w:p>
    <w:p>
      <w:pPr>
        <w:spacing w:after="0" w:line="220" w:lineRule="exact"/>
        <w:rPr>
          <w:sz w:val="20"/>
          <w:szCs w:val="20"/>
          <w:color w:val="auto"/>
        </w:rPr>
      </w:pPr>
    </w:p>
    <w:p>
      <w:pPr>
        <w:ind w:left="200" w:right="219" w:firstLine="667"/>
        <w:spacing w:after="0" w:line="284" w:lineRule="auto"/>
        <w:rPr>
          <w:sz w:val="20"/>
          <w:szCs w:val="20"/>
          <w:color w:val="auto"/>
        </w:rPr>
      </w:pPr>
      <w:r>
        <w:rPr>
          <w:rFonts w:ascii="Times New Roman" w:cs="Times New Roman" w:eastAsia="Times New Roman" w:hAnsi="Times New Roman"/>
          <w:sz w:val="22"/>
          <w:szCs w:val="22"/>
          <w:color w:val="auto"/>
        </w:rPr>
        <w:t>The following exchanges of a part of this Book-Entry Security for definitive Securities have been made:</w:t>
      </w:r>
    </w:p>
    <w:p>
      <w:pPr>
        <w:spacing w:after="0" w:line="200" w:lineRule="exact"/>
        <w:rPr>
          <w:sz w:val="20"/>
          <w:szCs w:val="20"/>
          <w:color w:val="auto"/>
        </w:rPr>
      </w:pPr>
    </w:p>
    <w:p>
      <w:pPr>
        <w:spacing w:after="0" w:line="36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decrease</w:t>
            </w:r>
          </w:p>
        </w:tc>
        <w:tc>
          <w:tcPr>
            <w:tcW w:w="1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increase</w:t>
            </w:r>
          </w:p>
        </w:tc>
        <w:tc>
          <w:tcPr>
            <w:tcW w:w="1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this Book-Entry</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this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 this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following</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 officer</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Book-Entry</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Book-Entry</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such decrease (or</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Trustee or</w:t>
            </w:r>
          </w:p>
        </w:tc>
        <w:tc>
          <w:tcPr>
            <w:tcW w:w="60" w:type="dxa"/>
            <w:vAlign w:val="bottom"/>
          </w:tcPr>
          <w:p>
            <w:pPr>
              <w:spacing w:after="0"/>
              <w:rPr>
                <w:sz w:val="18"/>
                <w:szCs w:val="18"/>
                <w:color w:val="auto"/>
              </w:rPr>
            </w:pPr>
          </w:p>
        </w:tc>
      </w:tr>
      <w:tr>
        <w:trPr>
          <w:trHeight w:val="259"/>
        </w:trPr>
        <w:tc>
          <w:tcPr>
            <w:tcW w:w="80" w:type="dxa"/>
            <w:vAlign w:val="bottom"/>
          </w:tcPr>
          <w:p>
            <w:pPr>
              <w:spacing w:after="0"/>
              <w:rPr>
                <w:sz w:val="22"/>
                <w:szCs w:val="22"/>
                <w:color w:val="auto"/>
              </w:rPr>
            </w:pPr>
          </w:p>
        </w:tc>
        <w:tc>
          <w:tcPr>
            <w:tcW w:w="1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18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80" w:type="dxa"/>
            <w:vAlign w:val="bottom"/>
          </w:tcPr>
          <w:p>
            <w:pPr>
              <w:spacing w:after="0"/>
              <w:rPr>
                <w:sz w:val="22"/>
                <w:szCs w:val="22"/>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Custodian</w:t>
            </w:r>
          </w:p>
        </w:tc>
        <w:tc>
          <w:tcPr>
            <w:tcW w:w="60" w:type="dxa"/>
            <w:vAlign w:val="bottom"/>
            <w:tcBorders>
              <w:bottom w:val="single" w:sz="8" w:color="auto"/>
            </w:tcBorders>
          </w:tcPr>
          <w:p>
            <w:pPr>
              <w:spacing w:after="0"/>
              <w:rPr>
                <w:sz w:val="22"/>
                <w:szCs w:val="22"/>
                <w:color w:val="auto"/>
              </w:rPr>
            </w:pPr>
          </w:p>
        </w:tc>
      </w:tr>
      <w:tr>
        <w:trPr>
          <w:trHeight w:val="1776"/>
        </w:trPr>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195" w:name="page196"/>
    <w:bookmarkEnd w:id="195"/>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4.10</w:t>
      </w:r>
    </w:p>
    <w:p>
      <w:pPr>
        <w:spacing w:after="0" w:line="395" w:lineRule="exact"/>
        <w:rPr>
          <w:sz w:val="20"/>
          <w:szCs w:val="20"/>
          <w:color w:val="auto"/>
        </w:rPr>
      </w:pPr>
    </w:p>
    <w:p>
      <w:pPr>
        <w:jc w:val="center"/>
        <w:ind w:left="200" w:right="219"/>
        <w:spacing w:after="0" w:line="259" w:lineRule="auto"/>
        <w:rPr>
          <w:sz w:val="20"/>
          <w:szCs w:val="20"/>
          <w:color w:val="auto"/>
        </w:rPr>
      </w:pPr>
      <w:r>
        <w:rPr>
          <w:rFonts w:ascii="Times New Roman" w:cs="Times New Roman" w:eastAsia="Times New Roman" w:hAnsi="Times New Roman"/>
          <w:sz w:val="22"/>
          <w:szCs w:val="22"/>
          <w:b w:val="1"/>
          <w:bCs w:val="1"/>
          <w:color w:val="auto"/>
        </w:rPr>
        <w:t>WASTE MANAGEMENT, INC. Officers’ Certificate Delivered Pursuant to Section 301 of the Indenture dated as of September 10, 1997</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November 4, 2024</w:t>
      </w: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The undersigned, the Vice President and Treasurer, and the Vice President and</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Corporate Secretary of Waste Management, Inc. (the “Company”), hereby certify that:</w:t>
      </w:r>
    </w:p>
    <w:p>
      <w:pPr>
        <w:spacing w:after="0" w:line="196" w:lineRule="exact"/>
        <w:rPr>
          <w:sz w:val="20"/>
          <w:szCs w:val="20"/>
          <w:color w:val="auto"/>
        </w:rPr>
      </w:pPr>
    </w:p>
    <w:p>
      <w:pPr>
        <w:jc w:val="both"/>
        <w:ind w:left="200" w:right="219" w:firstLine="1305"/>
        <w:spacing w:after="0" w:line="248" w:lineRule="auto"/>
        <w:tabs>
          <w:tab w:leader="none" w:pos="21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November 4, 2024 (the “Order”) for the authentication and delivery by the Trustee of $750,000,000 aggregate principal amount of 4.800% Senior Notes due 2032 (the “Notes”).</w:t>
      </w:r>
    </w:p>
    <w:p>
      <w:pPr>
        <w:spacing w:after="0" w:line="181" w:lineRule="exact"/>
        <w:rPr>
          <w:rFonts w:ascii="Times New Roman" w:cs="Times New Roman" w:eastAsia="Times New Roman" w:hAnsi="Times New Roman"/>
          <w:sz w:val="22"/>
          <w:szCs w:val="22"/>
          <w:color w:val="auto"/>
        </w:rPr>
      </w:pPr>
    </w:p>
    <w:p>
      <w:pPr>
        <w:ind w:left="200" w:right="219" w:firstLine="1305"/>
        <w:spacing w:after="0" w:line="271" w:lineRule="auto"/>
        <w:tabs>
          <w:tab w:leader="none" w:pos="21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have read Sections 102, 103, 301 and 303 of the Indenture and the definitions in the Indenture relating thereto.</w:t>
      </w:r>
    </w:p>
    <w:p>
      <w:pPr>
        <w:spacing w:after="0" w:line="157" w:lineRule="exact"/>
        <w:rPr>
          <w:rFonts w:ascii="Times New Roman" w:cs="Times New Roman" w:eastAsia="Times New Roman" w:hAnsi="Times New Roman"/>
          <w:sz w:val="22"/>
          <w:szCs w:val="22"/>
          <w:color w:val="auto"/>
        </w:rPr>
      </w:pPr>
    </w:p>
    <w:p>
      <w:pPr>
        <w:jc w:val="both"/>
        <w:ind w:left="200" w:right="239" w:firstLine="1305"/>
        <w:spacing w:after="0" w:line="256" w:lineRule="auto"/>
        <w:tabs>
          <w:tab w:leader="none" w:pos="21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76" w:lineRule="exact"/>
        <w:rPr>
          <w:rFonts w:ascii="Times New Roman" w:cs="Times New Roman" w:eastAsia="Times New Roman" w:hAnsi="Times New Roman"/>
          <w:sz w:val="22"/>
          <w:szCs w:val="22"/>
          <w:color w:val="auto"/>
        </w:rPr>
      </w:pPr>
    </w:p>
    <w:p>
      <w:pPr>
        <w:ind w:left="200" w:right="239" w:firstLine="1305"/>
        <w:spacing w:after="0" w:line="271" w:lineRule="auto"/>
        <w:tabs>
          <w:tab w:leader="none" w:pos="21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have examined the Order, and they have read the covenants, conditions and provisions of the Indenture relating thereto.</w:t>
      </w:r>
    </w:p>
    <w:p>
      <w:pPr>
        <w:spacing w:after="0" w:line="157"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covenants and conditions (including all conditions precedent) provided in the Indenture to the authentication and delivery by the Trustee of $750,000,000 aggregate principal amount of the Notes have been complied with, and such Notes may be delivered in accordance with the Order as provided in the Indenture.</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of the Notes (including the Form of Note) as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to this Certificate have been approved by officers of the Company as authorized by resolutions duly adopted on March 1, 2022, August 21, 2023, August 26, 2024 and October 3, 2024 by the Board of Directors of the Company, which are in full force and effect as of the date hereof.</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647700</wp:posOffset>
            </wp:positionV>
            <wp:extent cx="545211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96" w:name="page197"/>
    <w:bookmarkEnd w:id="196"/>
    <w:p>
      <w:pPr>
        <w:ind w:left="200" w:right="439"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hereunto executed this Officers’ Certificate as of the date first written above.</w:t>
      </w:r>
    </w:p>
    <w:p>
      <w:pPr>
        <w:spacing w:after="0" w:line="200" w:lineRule="exact"/>
        <w:rPr>
          <w:sz w:val="20"/>
          <w:szCs w:val="20"/>
          <w:color w:val="auto"/>
        </w:rPr>
      </w:pPr>
    </w:p>
    <w:p>
      <w:pPr>
        <w:spacing w:after="0" w:line="29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/s/ Leslie K. Nagy</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-160020</wp:posOffset>
            </wp:positionV>
            <wp:extent cx="260604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2">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Vice President and Treasurer</w:t>
      </w:r>
    </w:p>
    <w:p>
      <w:pPr>
        <w:spacing w:after="0" w:line="25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/s/ Courtney A. Tippy</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-160020</wp:posOffset>
            </wp:positionV>
            <wp:extent cx="26060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Vice President and Corporate Secretary</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301 of the Indenture dated as of September 10, 1997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Annex A</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Terms of the Notes</w:t>
      </w:r>
    </w:p>
    <w:p>
      <w:pPr>
        <w:spacing w:after="0" w:line="263"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auto"/>
        </w:rPr>
        <w:t>Pursuant to authority granted by the Board of Directors of the Company on March 1, 2022, August 21, 2023, August 26, 2024 and October 3, 2024 and the Sole Director of Waste Management Holdings, Inc. on October 3, 2024,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91" w:lineRule="exact"/>
        <w:rPr>
          <w:sz w:val="20"/>
          <w:szCs w:val="20"/>
          <w:color w:val="auto"/>
        </w:rPr>
      </w:pPr>
    </w:p>
    <w:p>
      <w:pPr>
        <w:ind w:left="860" w:hanging="651"/>
        <w:spacing w:after="0"/>
        <w:tabs>
          <w:tab w:leader="none" w:pos="86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title of the series of Securities shall be “4.800% Senior Notes due 2032” (the “Notes”).</w:t>
      </w:r>
    </w:p>
    <w:p>
      <w:pPr>
        <w:spacing w:after="0" w:line="231" w:lineRule="exact"/>
        <w:rPr>
          <w:rFonts w:ascii="Times New Roman" w:cs="Times New Roman" w:eastAsia="Times New Roman" w:hAnsi="Times New Roman"/>
          <w:sz w:val="21"/>
          <w:szCs w:val="21"/>
          <w:color w:val="auto"/>
        </w:rPr>
      </w:pPr>
    </w:p>
    <w:p>
      <w:pPr>
        <w:ind w:left="860" w:hanging="651"/>
        <w:spacing w:after="0"/>
        <w:tabs>
          <w:tab w:leader="none" w:pos="86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general unsecured, senior obligations of the Company.</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aggregate principal amount of the Notes that may be authenticated and delivered under the Indenture shall be $750,000,000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81"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each Note shall be payable on March 15, 2032.</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Note shall bear interest from November 4, 2024 at the fixed rate of 4.800% per annum; the Interest Payment Dates on which such interest shall be payable shall be March 15 and September 15 of each year, commencing March 15, 2025, until maturity, unless such date falls on a day that is not a Business Day, in which case, such payment shall be made on the next day that is a Business Day. The Regular Record Date for the determination of Holders to whom interest is payable shall be March 1 or September 1, respectively, immediately preceding such date, as the case may be.</w:t>
      </w:r>
    </w:p>
    <w:p>
      <w:pPr>
        <w:spacing w:after="0" w:line="181" w:lineRule="exact"/>
        <w:rPr>
          <w:rFonts w:ascii="Times New Roman" w:cs="Times New Roman" w:eastAsia="Times New Roman" w:hAnsi="Times New Roman"/>
          <w:sz w:val="22"/>
          <w:szCs w:val="22"/>
          <w:color w:val="auto"/>
        </w:rPr>
      </w:pPr>
    </w:p>
    <w:p>
      <w:pPr>
        <w:jc w:val="both"/>
        <w:ind w:left="860" w:right="219" w:hanging="651"/>
        <w:spacing w:after="0" w:line="252" w:lineRule="auto"/>
        <w:tabs>
          <w:tab w:leader="none" w:pos="86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79"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624205</wp:posOffset>
            </wp:positionV>
            <wp:extent cx="545211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198" w:name="page199"/>
    <w:bookmarkEnd w:id="198"/>
    <w:p>
      <w:pPr>
        <w:jc w:val="both"/>
        <w:ind w:left="860" w:right="219" w:hanging="651"/>
        <w:spacing w:after="0" w:line="251" w:lineRule="auto"/>
        <w:tabs>
          <w:tab w:leader="none" w:pos="86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67" w:lineRule="exact"/>
        <w:rPr>
          <w:rFonts w:ascii="Times New Roman" w:cs="Times New Roman" w:eastAsia="Times New Roman" w:hAnsi="Times New Roman"/>
          <w:sz w:val="22"/>
          <w:szCs w:val="22"/>
          <w:color w:val="auto"/>
        </w:rPr>
      </w:pPr>
    </w:p>
    <w:p>
      <w:pPr>
        <w:jc w:val="both"/>
        <w:ind w:left="860" w:right="239" w:hanging="651"/>
        <w:spacing w:after="0" w:line="281" w:lineRule="auto"/>
        <w:tabs>
          <w:tab w:leader="none" w:pos="86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37" w:lineRule="exact"/>
        <w:rPr>
          <w:rFonts w:ascii="Times New Roman" w:cs="Times New Roman" w:eastAsia="Times New Roman" w:hAnsi="Times New Roman"/>
          <w:sz w:val="21"/>
          <w:szCs w:val="21"/>
          <w:color w:val="auto"/>
        </w:rPr>
      </w:pPr>
    </w:p>
    <w:p>
      <w:pPr>
        <w:jc w:val="both"/>
        <w:ind w:left="1500" w:right="219" w:firstLine="5"/>
        <w:spacing w:after="0" w:line="253" w:lineRule="auto"/>
        <w:tabs>
          <w:tab w:leader="none" w:pos="1857"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10 basis points, less (b) interest accrued to the Redemption Date, and</w:t>
      </w:r>
    </w:p>
    <w:p>
      <w:pPr>
        <w:spacing w:after="0" w:line="178" w:lineRule="exact"/>
        <w:rPr>
          <w:rFonts w:ascii="Times New Roman" w:cs="Times New Roman" w:eastAsia="Times New Roman" w:hAnsi="Times New Roman"/>
          <w:sz w:val="22"/>
          <w:szCs w:val="22"/>
          <w:color w:val="auto"/>
        </w:rPr>
      </w:pPr>
    </w:p>
    <w:p>
      <w:pPr>
        <w:ind w:left="1820" w:hanging="315"/>
        <w:spacing w:after="0"/>
        <w:tabs>
          <w:tab w:leader="none" w:pos="1820"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Notes to be redeemed,</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plus, in either case, accrued and unpaid interest thereon to the Redemption Date.</w:t>
      </w:r>
    </w:p>
    <w:p>
      <w:pPr>
        <w:spacing w:after="0" w:line="220" w:lineRule="exact"/>
        <w:rPr>
          <w:sz w:val="20"/>
          <w:szCs w:val="20"/>
          <w:color w:val="auto"/>
        </w:rPr>
      </w:pPr>
    </w:p>
    <w:p>
      <w:pPr>
        <w:jc w:val="both"/>
        <w:ind w:left="860" w:right="219"/>
        <w:spacing w:after="0" w:line="252" w:lineRule="auto"/>
        <w:rPr>
          <w:sz w:val="20"/>
          <w:szCs w:val="20"/>
          <w:color w:val="auto"/>
        </w:rPr>
      </w:pPr>
      <w:r>
        <w:rPr>
          <w:rFonts w:ascii="Times New Roman" w:cs="Times New Roman" w:eastAsia="Times New Roman" w:hAnsi="Times New Roman"/>
          <w:sz w:val="22"/>
          <w:szCs w:val="22"/>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“Par Call Date” means January 15, 2032.</w:t>
      </w:r>
    </w:p>
    <w:p>
      <w:pPr>
        <w:spacing w:after="0" w:line="220" w:lineRule="exact"/>
        <w:rPr>
          <w:sz w:val="20"/>
          <w:szCs w:val="20"/>
          <w:color w:val="auto"/>
        </w:rPr>
      </w:pPr>
    </w:p>
    <w:p>
      <w:pPr>
        <w:jc w:val="both"/>
        <w:ind w:left="860" w:right="239" w:hanging="651"/>
        <w:spacing w:after="0" w:line="257" w:lineRule="auto"/>
        <w:tabs>
          <w:tab w:leader="none" w:pos="86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no obligation to redeem, purchase or repay the Notes pursuant to any mandatory redemption, sinking fund or analogous provisions or at the option of a Holder thereof.</w:t>
      </w:r>
    </w:p>
    <w:p>
      <w:pPr>
        <w:spacing w:after="0" w:line="172"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will be subject to defeasance and discharge as contemplated by Section 1302 of the Indenture and to covenant defeasance under Section 1303 of the Indenture.</w:t>
      </w:r>
    </w:p>
    <w:p>
      <w:pPr>
        <w:spacing w:after="0" w:line="157"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entitled to the benefit of the covenants contained in Sections 1008 and 1009 of the Indenture.</w:t>
      </w:r>
    </w:p>
    <w:p>
      <w:pPr>
        <w:spacing w:after="0" w:line="157"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 of New York Mellon Trust Company, N.A. shall serve initially as Security Registrar for the Notes.</w:t>
      </w:r>
    </w:p>
    <w:p>
      <w:pPr>
        <w:spacing w:after="0" w:line="157"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substantially in the form of Exhibit A hereto.</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65" w:lineRule="auto"/>
        <w:tabs>
          <w:tab w:leader="none" w:pos="86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Notes will be fully and unconditionally guaranteed on a senior basis by the Company’s wholly owned subsidiary, Waste Management Holdings, Inc., pursuant to the terms and conditions of a Guarantee Agreement dated November 4, 2024 (the “Guarantee”). The amount of the Guarantee will be limited to the extent required under applicable fraudulent conveyance laws to cause the Guarantee to be enforceable. The terms and conditions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602615</wp:posOffset>
            </wp:positionV>
            <wp:extent cx="545211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9" w:name="page200"/>
    <w:bookmarkEnd w:id="199"/>
    <w:p>
      <w:pPr>
        <w:ind w:left="860" w:right="239"/>
        <w:spacing w:after="0" w:line="271" w:lineRule="auto"/>
        <w:rPr>
          <w:sz w:val="20"/>
          <w:szCs w:val="20"/>
          <w:color w:val="auto"/>
        </w:rPr>
      </w:pPr>
      <w:r>
        <w:rPr>
          <w:rFonts w:ascii="Times New Roman" w:cs="Times New Roman" w:eastAsia="Times New Roman" w:hAnsi="Times New Roman"/>
          <w:sz w:val="22"/>
          <w:szCs w:val="22"/>
          <w:color w:val="auto"/>
        </w:rPr>
        <w:t>Guarantee shall continue in full force and effect for the benefit of holders of the Notes until release thereof as set forth in Section 6 of the Guarantee.</w:t>
      </w:r>
    </w:p>
    <w:p>
      <w:pPr>
        <w:spacing w:after="0" w:line="158" w:lineRule="exact"/>
        <w:rPr>
          <w:sz w:val="20"/>
          <w:szCs w:val="20"/>
          <w:color w:val="auto"/>
        </w:rPr>
      </w:pPr>
    </w:p>
    <w:p>
      <w:pPr>
        <w:jc w:val="both"/>
        <w:ind w:left="860" w:right="219" w:hanging="651"/>
        <w:spacing w:after="0" w:line="263" w:lineRule="auto"/>
        <w:tabs>
          <w:tab w:leader="none" w:pos="86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1537970</wp:posOffset>
            </wp:positionV>
            <wp:extent cx="545211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0" w:name="page201"/>
    <w:bookmarkEnd w:id="200"/>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655320</wp:posOffset>
            </wp:positionV>
            <wp:extent cx="545211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01" w:name="page202"/>
    <w:bookmarkEnd w:id="201"/>
    <w:p>
      <w:pPr>
        <w:jc w:val="center"/>
        <w:ind w:right="19"/>
        <w:spacing w:after="0"/>
        <w:rPr>
          <w:sz w:val="20"/>
          <w:szCs w:val="20"/>
          <w:color w:val="auto"/>
        </w:rPr>
      </w:pPr>
      <w:r>
        <w:rPr>
          <w:rFonts w:ascii="Times New Roman" w:cs="Times New Roman" w:eastAsia="Times New Roman" w:hAnsi="Times New Roman"/>
          <w:sz w:val="22"/>
          <w:szCs w:val="22"/>
          <w:color w:val="auto"/>
        </w:rPr>
        <w:t>BOOK-ENTRY SECURITY</w:t>
      </w:r>
    </w:p>
    <w:p>
      <w:pPr>
        <w:spacing w:after="0" w:line="220" w:lineRule="exact"/>
        <w:rPr>
          <w:sz w:val="20"/>
          <w:szCs w:val="20"/>
          <w:color w:val="auto"/>
        </w:rPr>
      </w:pPr>
    </w:p>
    <w:p>
      <w:pPr>
        <w:jc w:val="both"/>
        <w:ind w:left="200" w:right="219" w:firstLine="667"/>
        <w:spacing w:after="0" w:line="247" w:lineRule="auto"/>
        <w:rPr>
          <w:sz w:val="20"/>
          <w:szCs w:val="20"/>
          <w:color w:val="auto"/>
        </w:rPr>
      </w:pPr>
      <w:r>
        <w:rPr>
          <w:rFonts w:ascii="Times New Roman" w:cs="Times New Roman" w:eastAsia="Times New Roman" w:hAnsi="Times New Roman"/>
          <w:sz w:val="22"/>
          <w:szCs w:val="22"/>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91"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282"/>
        </w:trPr>
        <w:tc>
          <w:tcPr>
            <w:tcW w:w="5800" w:type="dxa"/>
            <w:vAlign w:val="bottom"/>
          </w:tcPr>
          <w:p>
            <w:pPr>
              <w:spacing w:after="0"/>
              <w:rPr>
                <w:sz w:val="20"/>
                <w:szCs w:val="20"/>
                <w:color w:val="auto"/>
              </w:rPr>
            </w:pPr>
            <w:r>
              <w:rPr>
                <w:rFonts w:ascii="Times New Roman" w:cs="Times New Roman" w:eastAsia="Times New Roman" w:hAnsi="Times New Roman"/>
                <w:sz w:val="22"/>
                <w:szCs w:val="22"/>
                <w:color w:val="auto"/>
              </w:rPr>
              <w:t>RGN</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Principal Amount</w:t>
            </w:r>
          </w:p>
        </w:tc>
        <w:tc>
          <w:tcPr>
            <w:tcW w:w="0" w:type="dxa"/>
            <w:vAlign w:val="bottom"/>
          </w:tcPr>
          <w:p>
            <w:pPr>
              <w:spacing w:after="0"/>
              <w:rPr>
                <w:sz w:val="1"/>
                <w:szCs w:val="1"/>
                <w:color w:val="auto"/>
              </w:rPr>
            </w:pPr>
          </w:p>
        </w:tc>
      </w:tr>
      <w:tr>
        <w:trPr>
          <w:trHeight w:val="460"/>
        </w:trPr>
        <w:tc>
          <w:tcPr>
            <w:tcW w:w="5800" w:type="dxa"/>
            <w:vAlign w:val="bottom"/>
          </w:tcPr>
          <w:p>
            <w:pPr>
              <w:spacing w:after="0"/>
              <w:rPr>
                <w:sz w:val="24"/>
                <w:szCs w:val="24"/>
                <w:color w:val="auto"/>
              </w:rPr>
            </w:pPr>
          </w:p>
        </w:tc>
        <w:tc>
          <w:tcPr>
            <w:tcW w:w="198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U.S. $</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7"/>
        </w:trPr>
        <w:tc>
          <w:tcPr>
            <w:tcW w:w="5800" w:type="dxa"/>
            <w:vAlign w:val="bottom"/>
          </w:tcPr>
          <w:p>
            <w:pPr>
              <w:spacing w:after="0"/>
              <w:rPr>
                <w:sz w:val="22"/>
                <w:szCs w:val="22"/>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which may be decreased</w:t>
            </w:r>
          </w:p>
        </w:tc>
        <w:tc>
          <w:tcPr>
            <w:tcW w:w="0" w:type="dxa"/>
            <w:vAlign w:val="bottom"/>
          </w:tcPr>
          <w:p>
            <w:pPr>
              <w:spacing w:after="0"/>
              <w:rPr>
                <w:sz w:val="1"/>
                <w:szCs w:val="1"/>
                <w:color w:val="auto"/>
              </w:rPr>
            </w:pPr>
          </w:p>
        </w:tc>
      </w:tr>
      <w:tr>
        <w:trPr>
          <w:trHeight w:val="257"/>
        </w:trPr>
        <w:tc>
          <w:tcPr>
            <w:tcW w:w="5800" w:type="dxa"/>
            <w:vAlign w:val="bottom"/>
          </w:tcPr>
          <w:p>
            <w:pPr>
              <w:spacing w:after="0"/>
              <w:rPr>
                <w:sz w:val="22"/>
                <w:szCs w:val="22"/>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by the Schedule of</w:t>
            </w:r>
          </w:p>
        </w:tc>
        <w:tc>
          <w:tcPr>
            <w:tcW w:w="0" w:type="dxa"/>
            <w:vAlign w:val="bottom"/>
          </w:tcPr>
          <w:p>
            <w:pPr>
              <w:spacing w:after="0"/>
              <w:rPr>
                <w:sz w:val="1"/>
                <w:szCs w:val="1"/>
                <w:color w:val="auto"/>
              </w:rPr>
            </w:pPr>
          </w:p>
        </w:tc>
      </w:tr>
      <w:tr>
        <w:trPr>
          <w:trHeight w:val="256"/>
        </w:trPr>
        <w:tc>
          <w:tcPr>
            <w:tcW w:w="580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WASTE MANAGEMENT, INC.</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Exchanges of Definitive</w:t>
            </w:r>
          </w:p>
        </w:tc>
        <w:tc>
          <w:tcPr>
            <w:tcW w:w="0" w:type="dxa"/>
            <w:vAlign w:val="bottom"/>
          </w:tcPr>
          <w:p>
            <w:pPr>
              <w:spacing w:after="0"/>
              <w:rPr>
                <w:sz w:val="1"/>
                <w:szCs w:val="1"/>
                <w:color w:val="auto"/>
              </w:rPr>
            </w:pPr>
          </w:p>
        </w:tc>
      </w:tr>
      <w:tr>
        <w:trPr>
          <w:trHeight w:val="282"/>
        </w:trPr>
        <w:tc>
          <w:tcPr>
            <w:tcW w:w="5800" w:type="dxa"/>
            <w:vAlign w:val="bottom"/>
            <w:vMerge w:val="continue"/>
          </w:tcPr>
          <w:p>
            <w:pPr>
              <w:spacing w:after="0"/>
              <w:rPr>
                <w:sz w:val="24"/>
                <w:szCs w:val="24"/>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Security attached hereto</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4.800% SENIOR NOTES DUE 2032</w:t>
      </w:r>
    </w:p>
    <w:p>
      <w:pPr>
        <w:spacing w:after="0" w:line="23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2"/>
          <w:szCs w:val="22"/>
          <w:color w:val="auto"/>
        </w:rPr>
        <w:t>CUSIP 94106L CD9</w:t>
      </w:r>
    </w:p>
    <w:p>
      <w:pPr>
        <w:spacing w:after="0" w:line="233" w:lineRule="exact"/>
        <w:rPr>
          <w:sz w:val="20"/>
          <w:szCs w:val="20"/>
          <w:color w:val="auto"/>
        </w:rPr>
      </w:pPr>
    </w:p>
    <w:p>
      <w:pPr>
        <w:jc w:val="both"/>
        <w:ind w:left="200" w:right="219" w:firstLine="667"/>
        <w:spacing w:after="0" w:line="262" w:lineRule="auto"/>
        <w:rPr>
          <w:sz w:val="20"/>
          <w:szCs w:val="20"/>
          <w:color w:val="auto"/>
        </w:rPr>
      </w:pPr>
      <w:r>
        <w:rPr>
          <w:rFonts w:ascii="Times New Roman" w:cs="Times New Roman" w:eastAsia="Times New Roman" w:hAnsi="Times New Roman"/>
          <w:sz w:val="21"/>
          <w:szCs w:val="21"/>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w:t>
      </w:r>
    </w:p>
    <w:p>
      <w:pPr>
        <w:spacing w:after="0" w:line="3"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principal sum of Million ($ ) U.S. dollars, or such lesser principal sum as is shown on the attached Schedule of Exchanges of Definitive Security, on March 15, 2032 in such coin or currency of the United States of America as at the time of payment shall be legal tender for the payment of public and private debts, and to pay interest at an annual rate of 4.800% payable on March 15 and September 15 of each year, to the person in whose name this Security is registered at the close of business on the record date for such interest, which shall be the preceding March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479425</wp:posOffset>
            </wp:positionV>
            <wp:extent cx="545211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2" w:name="page203"/>
    <w:bookmarkEnd w:id="202"/>
    <w:p>
      <w:pPr>
        <w:jc w:val="both"/>
        <w:ind w:left="200" w:right="219"/>
        <w:spacing w:after="0" w:line="271" w:lineRule="auto"/>
        <w:rPr>
          <w:sz w:val="20"/>
          <w:szCs w:val="20"/>
          <w:color w:val="auto"/>
        </w:rPr>
      </w:pPr>
      <w:r>
        <w:rPr>
          <w:rFonts w:ascii="Times New Roman" w:cs="Times New Roman" w:eastAsia="Times New Roman" w:hAnsi="Times New Roman"/>
          <w:sz w:val="22"/>
          <w:szCs w:val="22"/>
          <w:color w:val="auto"/>
        </w:rPr>
        <w:t>or September 1, respectively, payable commencing March 15, 2025, with interest accruing from November 4, 2024, or the most recent date to which interest has been paid.</w:t>
      </w:r>
    </w:p>
    <w:p>
      <w:pPr>
        <w:spacing w:after="0" w:line="171"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Reference is made to the further provisions of this Security set forth on the reverse hereof. Such further provisions shall for all purposes have the same effect as though fully set forth at this place.</w:t>
      </w:r>
    </w:p>
    <w:p>
      <w:pPr>
        <w:spacing w:after="0" w:line="173"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73"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This Security is issued in respect of a series of Securities of an initial aggregate of U.S. $750,000,000 in principal amount designated as the 4.800% Senior Notes due 2032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91"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79" w:lineRule="exact"/>
        <w:rPr>
          <w:sz w:val="20"/>
          <w:szCs w:val="20"/>
          <w:color w:val="auto"/>
        </w:rPr>
      </w:pPr>
    </w:p>
    <w:p>
      <w:pPr>
        <w:jc w:val="both"/>
        <w:ind w:left="200" w:right="239" w:firstLine="667"/>
        <w:spacing w:after="0" w:line="271" w:lineRule="auto"/>
        <w:rPr>
          <w:sz w:val="20"/>
          <w:szCs w:val="20"/>
          <w:color w:val="auto"/>
        </w:rPr>
      </w:pPr>
      <w:r>
        <w:rPr>
          <w:rFonts w:ascii="Times New Roman" w:cs="Times New Roman" w:eastAsia="Times New Roman" w:hAnsi="Times New Roman"/>
          <w:sz w:val="22"/>
          <w:szCs w:val="22"/>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597535</wp:posOffset>
            </wp:positionV>
            <wp:extent cx="545211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3" w:name="page204"/>
    <w:bookmarkEnd w:id="203"/>
    <w:p>
      <w:pPr>
        <w:ind w:left="200" w:right="239" w:firstLine="667"/>
        <w:spacing w:after="0" w:line="271" w:lineRule="auto"/>
        <w:rPr>
          <w:sz w:val="20"/>
          <w:szCs w:val="20"/>
          <w:color w:val="auto"/>
        </w:rPr>
      </w:pPr>
      <w:r>
        <w:rPr>
          <w:rFonts w:ascii="Times New Roman" w:cs="Times New Roman" w:eastAsia="Times New Roman" w:hAnsi="Times New Roman"/>
          <w:sz w:val="22"/>
          <w:szCs w:val="22"/>
          <w:color w:val="auto"/>
        </w:rPr>
        <w:t>This Security shall not be valid or become obligatory for any purpose until the Certificate of Authentication hereon shall have been manually signed by the Trustee under the Indenture.</w:t>
      </w:r>
    </w:p>
    <w:p>
      <w:pPr>
        <w:spacing w:after="0" w:line="171"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instrument to be duly executed under its corporate seal.</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56"/>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Dated:</w:t>
            </w: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WASTE MANAGEMENT, INC.,</w:t>
            </w:r>
          </w:p>
        </w:tc>
      </w:tr>
      <w:tr>
        <w:trPr>
          <w:trHeight w:val="282"/>
        </w:trPr>
        <w:tc>
          <w:tcPr>
            <w:tcW w:w="2420" w:type="dxa"/>
            <w:vAlign w:val="bottom"/>
          </w:tcPr>
          <w:p>
            <w:pPr>
              <w:spacing w:after="0"/>
              <w:rPr>
                <w:sz w:val="24"/>
                <w:szCs w:val="24"/>
                <w:color w:val="auto"/>
              </w:rPr>
            </w:pP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a Delaware corporation</w:t>
            </w:r>
          </w:p>
        </w:tc>
      </w:tr>
      <w:tr>
        <w:trPr>
          <w:trHeight w:val="461"/>
        </w:trPr>
        <w:tc>
          <w:tcPr>
            <w:tcW w:w="2420" w:type="dxa"/>
            <w:vAlign w:val="bottom"/>
          </w:tcPr>
          <w:p>
            <w:pPr>
              <w:spacing w:after="0"/>
              <w:rPr>
                <w:sz w:val="24"/>
                <w:szCs w:val="24"/>
                <w:color w:val="auto"/>
              </w:rPr>
            </w:pPr>
          </w:p>
        </w:tc>
        <w:tc>
          <w:tcPr>
            <w:tcW w:w="238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By:</w:t>
            </w:r>
          </w:p>
        </w:tc>
        <w:tc>
          <w:tcPr>
            <w:tcW w:w="2480" w:type="dxa"/>
            <w:vAlign w:val="bottom"/>
            <w:tcBorders>
              <w:bottom w:val="single" w:sz="8" w:color="auto"/>
            </w:tcBorders>
            <w:gridSpan w:val="3"/>
          </w:tcPr>
          <w:p>
            <w:pPr>
              <w:spacing w:after="0"/>
              <w:rPr>
                <w:sz w:val="24"/>
                <w:szCs w:val="24"/>
                <w:color w:val="auto"/>
              </w:rPr>
            </w:pPr>
          </w:p>
        </w:tc>
        <w:tc>
          <w:tcPr>
            <w:tcW w:w="940" w:type="dxa"/>
            <w:vAlign w:val="bottom"/>
          </w:tcPr>
          <w:p>
            <w:pPr>
              <w:spacing w:after="0"/>
              <w:rPr>
                <w:sz w:val="24"/>
                <w:szCs w:val="24"/>
                <w:color w:val="auto"/>
              </w:rPr>
            </w:pPr>
          </w:p>
        </w:tc>
      </w:tr>
      <w:tr>
        <w:trPr>
          <w:trHeight w:val="263"/>
        </w:trPr>
        <w:tc>
          <w:tcPr>
            <w:tcW w:w="2420" w:type="dxa"/>
            <w:vAlign w:val="bottom"/>
          </w:tcPr>
          <w:p>
            <w:pPr>
              <w:spacing w:after="0"/>
              <w:rPr>
                <w:sz w:val="22"/>
                <w:szCs w:val="22"/>
                <w:color w:val="auto"/>
              </w:rPr>
            </w:pPr>
          </w:p>
        </w:tc>
        <w:tc>
          <w:tcPr>
            <w:tcW w:w="5800" w:type="dxa"/>
            <w:vAlign w:val="bottom"/>
            <w:gridSpan w:val="5"/>
          </w:tcPr>
          <w:p>
            <w:pPr>
              <w:ind w:left="2380"/>
              <w:spacing w:after="0"/>
              <w:rPr>
                <w:sz w:val="20"/>
                <w:szCs w:val="20"/>
                <w:color w:val="auto"/>
              </w:rPr>
            </w:pPr>
            <w:r>
              <w:rPr>
                <w:rFonts w:ascii="Times New Roman" w:cs="Times New Roman" w:eastAsia="Times New Roman" w:hAnsi="Times New Roman"/>
                <w:sz w:val="22"/>
                <w:szCs w:val="22"/>
                <w:color w:val="auto"/>
              </w:rPr>
              <w:t>Leslie K. Nagy</w:t>
            </w:r>
          </w:p>
        </w:tc>
      </w:tr>
      <w:tr>
        <w:trPr>
          <w:trHeight w:val="282"/>
        </w:trPr>
        <w:tc>
          <w:tcPr>
            <w:tcW w:w="2420" w:type="dxa"/>
            <w:vAlign w:val="bottom"/>
          </w:tcPr>
          <w:p>
            <w:pPr>
              <w:spacing w:after="0"/>
              <w:rPr>
                <w:sz w:val="24"/>
                <w:szCs w:val="24"/>
                <w:color w:val="auto"/>
              </w:rPr>
            </w:pPr>
          </w:p>
        </w:tc>
        <w:tc>
          <w:tcPr>
            <w:tcW w:w="5800" w:type="dxa"/>
            <w:vAlign w:val="bottom"/>
            <w:gridSpan w:val="5"/>
          </w:tcPr>
          <w:p>
            <w:pPr>
              <w:ind w:left="2380"/>
              <w:spacing w:after="0"/>
              <w:rPr>
                <w:sz w:val="20"/>
                <w:szCs w:val="20"/>
                <w:color w:val="auto"/>
              </w:rPr>
            </w:pPr>
            <w:r>
              <w:rPr>
                <w:rFonts w:ascii="Times New Roman" w:cs="Times New Roman" w:eastAsia="Times New Roman" w:hAnsi="Times New Roman"/>
                <w:sz w:val="22"/>
                <w:szCs w:val="22"/>
                <w:color w:val="auto"/>
              </w:rPr>
              <w:t>Vice President and Treasurer</w:t>
            </w:r>
          </w:p>
        </w:tc>
      </w:tr>
      <w:tr>
        <w:trPr>
          <w:trHeight w:val="769"/>
        </w:trPr>
        <w:tc>
          <w:tcPr>
            <w:tcW w:w="2420" w:type="dxa"/>
            <w:vAlign w:val="bottom"/>
          </w:tcPr>
          <w:p>
            <w:pPr>
              <w:spacing w:after="0"/>
              <w:rPr>
                <w:sz w:val="24"/>
                <w:szCs w:val="24"/>
                <w:color w:val="auto"/>
              </w:rPr>
            </w:pP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Attest:</w:t>
            </w:r>
          </w:p>
        </w:tc>
      </w:tr>
      <w:tr>
        <w:trPr>
          <w:trHeight w:val="461"/>
        </w:trPr>
        <w:tc>
          <w:tcPr>
            <w:tcW w:w="2420" w:type="dxa"/>
            <w:vAlign w:val="bottom"/>
          </w:tcPr>
          <w:p>
            <w:pPr>
              <w:spacing w:after="0"/>
              <w:rPr>
                <w:sz w:val="24"/>
                <w:szCs w:val="24"/>
                <w:color w:val="auto"/>
              </w:rPr>
            </w:pPr>
          </w:p>
        </w:tc>
        <w:tc>
          <w:tcPr>
            <w:tcW w:w="2400" w:type="dxa"/>
            <w:vAlign w:val="bottom"/>
            <w:gridSpan w:val="2"/>
          </w:tcPr>
          <w:p>
            <w:pPr>
              <w:ind w:left="1820"/>
              <w:spacing w:after="0"/>
              <w:rPr>
                <w:sz w:val="20"/>
                <w:szCs w:val="20"/>
                <w:color w:val="auto"/>
              </w:rPr>
            </w:pPr>
            <w:r>
              <w:rPr>
                <w:rFonts w:ascii="Times New Roman" w:cs="Times New Roman" w:eastAsia="Times New Roman" w:hAnsi="Times New Roman"/>
                <w:sz w:val="22"/>
                <w:szCs w:val="22"/>
                <w:color w:val="auto"/>
              </w:rPr>
              <w:t>By:</w:t>
            </w:r>
          </w:p>
        </w:tc>
        <w:tc>
          <w:tcPr>
            <w:tcW w:w="2440" w:type="dxa"/>
            <w:vAlign w:val="bottom"/>
            <w:tcBorders>
              <w:bottom w:val="single" w:sz="8" w:color="auto"/>
            </w:tcBorders>
          </w:tcPr>
          <w:p>
            <w:pPr>
              <w:spacing w:after="0"/>
              <w:rPr>
                <w:sz w:val="24"/>
                <w:szCs w:val="24"/>
                <w:color w:val="auto"/>
              </w:rPr>
            </w:pPr>
          </w:p>
        </w:tc>
        <w:tc>
          <w:tcPr>
            <w:tcW w:w="960" w:type="dxa"/>
            <w:vAlign w:val="bottom"/>
            <w:gridSpan w:val="2"/>
          </w:tcPr>
          <w:p>
            <w:pPr>
              <w:spacing w:after="0"/>
              <w:rPr>
                <w:sz w:val="24"/>
                <w:szCs w:val="24"/>
                <w:color w:val="auto"/>
              </w:rPr>
            </w:pPr>
          </w:p>
        </w:tc>
      </w:tr>
      <w:tr>
        <w:trPr>
          <w:trHeight w:val="263"/>
        </w:trPr>
        <w:tc>
          <w:tcPr>
            <w:tcW w:w="2420" w:type="dxa"/>
            <w:vAlign w:val="bottom"/>
          </w:tcPr>
          <w:p>
            <w:pPr>
              <w:spacing w:after="0"/>
              <w:rPr>
                <w:sz w:val="22"/>
                <w:szCs w:val="22"/>
                <w:color w:val="auto"/>
              </w:rPr>
            </w:pPr>
          </w:p>
        </w:tc>
        <w:tc>
          <w:tcPr>
            <w:tcW w:w="5800" w:type="dxa"/>
            <w:vAlign w:val="bottom"/>
            <w:gridSpan w:val="5"/>
          </w:tcPr>
          <w:p>
            <w:pPr>
              <w:ind w:left="2380"/>
              <w:spacing w:after="0"/>
              <w:rPr>
                <w:sz w:val="20"/>
                <w:szCs w:val="20"/>
                <w:color w:val="auto"/>
              </w:rPr>
            </w:pPr>
            <w:r>
              <w:rPr>
                <w:rFonts w:ascii="Times New Roman" w:cs="Times New Roman" w:eastAsia="Times New Roman" w:hAnsi="Times New Roman"/>
                <w:sz w:val="22"/>
                <w:szCs w:val="22"/>
                <w:color w:val="auto"/>
              </w:rPr>
              <w:t>Courtney A. Tippy</w:t>
            </w:r>
          </w:p>
        </w:tc>
      </w:tr>
      <w:tr>
        <w:trPr>
          <w:trHeight w:val="282"/>
        </w:trPr>
        <w:tc>
          <w:tcPr>
            <w:tcW w:w="2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2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7"/>
              </w:rPr>
              <w:t>Vice President and Corporate Secretary</w:t>
            </w:r>
          </w:p>
        </w:tc>
      </w:tr>
    </w:tbl>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CERTIFICATE OF AUTHENTICATION</w:t>
      </w:r>
    </w:p>
    <w:p>
      <w:pPr>
        <w:spacing w:after="0" w:line="220"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is one of the Securities of the series designated therein referred to in the within-mentioned Indenture.</w:t>
      </w:r>
    </w:p>
    <w:p>
      <w:pPr>
        <w:spacing w:after="0" w:line="158" w:lineRule="exact"/>
        <w:rPr>
          <w:sz w:val="20"/>
          <w:szCs w:val="20"/>
          <w:color w:val="auto"/>
        </w:rPr>
      </w:pPr>
    </w:p>
    <w:tbl>
      <w:tblPr>
        <w:tblLayout w:type="fixed"/>
        <w:tblInd w:w="220" w:type="dxa"/>
        <w:tblCellMar>
          <w:top w:w="0" w:type="dxa"/>
          <w:left w:w="0" w:type="dxa"/>
          <w:bottom w:w="0" w:type="dxa"/>
          <w:right w:w="0" w:type="dxa"/>
        </w:tblCellMar>
      </w:tblPr>
      <w:tr>
        <w:trPr>
          <w:trHeight w:val="257"/>
        </w:trPr>
        <w:tc>
          <w:tcPr>
            <w:tcW w:w="32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Date of Authentication:</w:t>
            </w:r>
          </w:p>
        </w:tc>
        <w:tc>
          <w:tcPr>
            <w:tcW w:w="536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w w:val="99"/>
              </w:rPr>
              <w:t>The Bank of New York Mellon Trust Company,</w:t>
            </w:r>
          </w:p>
        </w:tc>
      </w:tr>
      <w:tr>
        <w:trPr>
          <w:trHeight w:val="282"/>
        </w:trPr>
        <w:tc>
          <w:tcPr>
            <w:tcW w:w="3220" w:type="dxa"/>
            <w:vAlign w:val="bottom"/>
          </w:tcPr>
          <w:p>
            <w:pPr>
              <w:spacing w:after="0"/>
              <w:rPr>
                <w:sz w:val="24"/>
                <w:szCs w:val="24"/>
                <w:color w:val="auto"/>
              </w:rPr>
            </w:pPr>
          </w:p>
        </w:tc>
        <w:tc>
          <w:tcPr>
            <w:tcW w:w="536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rPr>
              <w:t>N.A., as Trustee</w:t>
            </w:r>
          </w:p>
        </w:tc>
      </w:tr>
      <w:tr>
        <w:trPr>
          <w:trHeight w:val="474"/>
        </w:trPr>
        <w:tc>
          <w:tcPr>
            <w:tcW w:w="3220" w:type="dxa"/>
            <w:vAlign w:val="bottom"/>
          </w:tcPr>
          <w:p>
            <w:pPr>
              <w:spacing w:after="0"/>
              <w:rPr>
                <w:sz w:val="24"/>
                <w:szCs w:val="24"/>
                <w:color w:val="auto"/>
              </w:rPr>
            </w:pPr>
          </w:p>
        </w:tc>
        <w:tc>
          <w:tcPr>
            <w:tcW w:w="536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rPr>
              <w:t>By: ​</w:t>
            </w:r>
          </w:p>
        </w:tc>
      </w:tr>
      <w:tr>
        <w:trPr>
          <w:trHeight w:val="289"/>
        </w:trPr>
        <w:tc>
          <w:tcPr>
            <w:tcW w:w="3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5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Authorized Officer</w:t>
            </w:r>
          </w:p>
        </w:tc>
        <w:tc>
          <w:tcPr>
            <w:tcW w:w="320" w:type="dxa"/>
            <w:vAlign w:val="bottom"/>
          </w:tcPr>
          <w:p>
            <w:pPr>
              <w:spacing w:after="0"/>
              <w:rPr>
                <w:sz w:val="24"/>
                <w:szCs w:val="24"/>
                <w:color w:val="auto"/>
              </w:rPr>
            </w:pPr>
          </w:p>
        </w:tc>
      </w:tr>
      <w:tr>
        <w:trPr>
          <w:trHeight w:val="1332"/>
        </w:trPr>
        <w:tc>
          <w:tcPr>
            <w:tcW w:w="3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204" w:name="page205"/>
    <w:bookmarkEnd w:id="204"/>
    <w:p>
      <w:pPr>
        <w:jc w:val="center"/>
        <w:ind w:right="19"/>
        <w:spacing w:after="0"/>
        <w:rPr>
          <w:sz w:val="20"/>
          <w:szCs w:val="20"/>
          <w:color w:val="auto"/>
        </w:rPr>
      </w:pPr>
      <w:r>
        <w:rPr>
          <w:rFonts w:ascii="Times New Roman" w:cs="Times New Roman" w:eastAsia="Times New Roman" w:hAnsi="Times New Roman"/>
          <w:sz w:val="22"/>
          <w:szCs w:val="22"/>
          <w:color w:val="auto"/>
        </w:rPr>
        <w:t>REVERSE OF BOOK-ENTRY SECURITY</w:t>
      </w:r>
    </w:p>
    <w:p>
      <w:pPr>
        <w:spacing w:after="0" w:line="27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WASTE MANAGEMENT, INC.</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4.800% SENIOR NOTES DUE 2032</w:t>
      </w:r>
    </w:p>
    <w:p>
      <w:pPr>
        <w:spacing w:after="0" w:line="274"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4.800% Senior Notes due 2032 of the Company, in initial aggregate principal amount of $750,000,000 (the “Securities”).</w:t>
      </w:r>
    </w:p>
    <w:p>
      <w:pPr>
        <w:spacing w:after="0" w:line="181" w:lineRule="exact"/>
        <w:rPr>
          <w:sz w:val="20"/>
          <w:szCs w:val="20"/>
          <w:color w:val="auto"/>
        </w:rPr>
      </w:pPr>
    </w:p>
    <w:p>
      <w:pPr>
        <w:ind w:left="1500" w:hanging="643"/>
        <w:spacing w:after="0"/>
        <w:tabs>
          <w:tab w:leader="none" w:pos="150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Interest.</w:t>
      </w:r>
    </w:p>
    <w:p>
      <w:pPr>
        <w:spacing w:after="0" w:line="224"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The Company promises to pay interest on the principal amount of this Security at the rate of 4.800% per annum.</w:t>
      </w:r>
    </w:p>
    <w:p>
      <w:pPr>
        <w:spacing w:after="0" w:line="171"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The Company will pay interest semi-annually on March 15 and September 15 of each year (each an “Interest Payment Date”), commencing March 15, 2025. Interest on the Securities will accrue from the most recent date to which interest has been paid or, if no interest has been paid on the Securities, from November 4, 2024.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4.800% per annum, in each case to the extent lawful.</w:t>
      </w:r>
    </w:p>
    <w:p>
      <w:pPr>
        <w:spacing w:after="0" w:line="187" w:lineRule="exact"/>
        <w:rPr>
          <w:sz w:val="20"/>
          <w:szCs w:val="20"/>
          <w:color w:val="auto"/>
        </w:rPr>
      </w:pPr>
    </w:p>
    <w:p>
      <w:pPr>
        <w:ind w:left="1500" w:hanging="643"/>
        <w:spacing w:after="0"/>
        <w:tabs>
          <w:tab w:leader="none" w:pos="150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Method of Payment.</w:t>
      </w:r>
    </w:p>
    <w:p>
      <w:pPr>
        <w:spacing w:after="0" w:line="224"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1"/>
          <w:szCs w:val="21"/>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473710</wp:posOffset>
            </wp:positionV>
            <wp:extent cx="545211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5" w:name="page206"/>
    <w:bookmarkEnd w:id="205"/>
    <w:p>
      <w:pPr>
        <w:jc w:val="both"/>
        <w:ind w:left="200" w:right="219"/>
        <w:spacing w:after="0" w:line="250" w:lineRule="auto"/>
        <w:rPr>
          <w:sz w:val="20"/>
          <w:szCs w:val="20"/>
          <w:color w:val="auto"/>
        </w:rPr>
      </w:pPr>
      <w:r>
        <w:rPr>
          <w:rFonts w:ascii="Times New Roman" w:cs="Times New Roman" w:eastAsia="Times New Roman" w:hAnsi="Times New Roman"/>
          <w:sz w:val="22"/>
          <w:szCs w:val="22"/>
          <w:color w:val="auto"/>
        </w:rPr>
        <w:t>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176" w:lineRule="exact"/>
        <w:rPr>
          <w:sz w:val="20"/>
          <w:szCs w:val="20"/>
          <w:color w:val="auto"/>
        </w:rPr>
      </w:pPr>
    </w:p>
    <w:p>
      <w:pPr>
        <w:ind w:left="1500" w:hanging="643"/>
        <w:spacing w:after="0"/>
        <w:tabs>
          <w:tab w:leader="none" w:pos="150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Paying Agent and Registrar.</w:t>
      </w:r>
    </w:p>
    <w:p>
      <w:pPr>
        <w:spacing w:after="0" w:line="224"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5" w:lineRule="exact"/>
        <w:rPr>
          <w:sz w:val="20"/>
          <w:szCs w:val="20"/>
          <w:color w:val="auto"/>
        </w:rPr>
      </w:pPr>
    </w:p>
    <w:p>
      <w:pPr>
        <w:ind w:left="1500" w:hanging="643"/>
        <w:spacing w:after="0"/>
        <w:tabs>
          <w:tab w:leader="none" w:pos="150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Indenture.</w:t>
      </w:r>
    </w:p>
    <w:p>
      <w:pPr>
        <w:spacing w:after="0" w:line="224"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Security is one of a duly authorized issue of Debt Securities of the Company issued and to be issued in one or more series under the Indenture.</w:t>
      </w:r>
    </w:p>
    <w:p>
      <w:pPr>
        <w:spacing w:after="0" w:line="158" w:lineRule="exact"/>
        <w:rPr>
          <w:sz w:val="20"/>
          <w:szCs w:val="20"/>
          <w:color w:val="auto"/>
        </w:rPr>
      </w:pPr>
    </w:p>
    <w:p>
      <w:pPr>
        <w:jc w:val="both"/>
        <w:ind w:left="200" w:right="219" w:firstLine="667"/>
        <w:spacing w:after="0" w:line="245" w:lineRule="auto"/>
        <w:rPr>
          <w:sz w:val="20"/>
          <w:szCs w:val="20"/>
          <w:color w:val="auto"/>
        </w:rPr>
      </w:pPr>
      <w:r>
        <w:rPr>
          <w:rFonts w:ascii="Times New Roman" w:cs="Times New Roman" w:eastAsia="Times New Roman" w:hAnsi="Times New Roman"/>
          <w:sz w:val="22"/>
          <w:szCs w:val="22"/>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August 21, 2023, August 26, 2024 and October 3, 2024 (the “Resolutions”) and the written consent of the Sole Director of Waste Management Holdings, Inc. on October 3, 2024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$750,000,000.</w:t>
      </w:r>
    </w:p>
    <w:p>
      <w:pPr>
        <w:spacing w:after="0" w:line="191" w:lineRule="exact"/>
        <w:rPr>
          <w:sz w:val="20"/>
          <w:szCs w:val="20"/>
          <w:color w:val="auto"/>
        </w:rPr>
      </w:pPr>
    </w:p>
    <w:p>
      <w:pPr>
        <w:ind w:left="1500" w:hanging="643"/>
        <w:spacing w:after="0"/>
        <w:tabs>
          <w:tab w:leader="none" w:pos="150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w:t>
      </w:r>
    </w:p>
    <w:p>
      <w:pPr>
        <w:spacing w:after="0" w:line="224"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Prior to the Par Call Date, the Company may redeem the Securities at its option, in whole or in part, at any time and from time to time, at a Redemption Price (expressed as a percentage of principal amount and rounded to three decimal places) equal to the greater of:</w:t>
      </w:r>
    </w:p>
    <w:p>
      <w:pPr>
        <w:spacing w:after="0" w:line="173" w:lineRule="exact"/>
        <w:rPr>
          <w:sz w:val="20"/>
          <w:szCs w:val="20"/>
          <w:color w:val="auto"/>
        </w:rPr>
      </w:pPr>
    </w:p>
    <w:p>
      <w:pPr>
        <w:jc w:val="both"/>
        <w:ind w:left="860" w:right="219" w:firstLine="15"/>
        <w:spacing w:after="0" w:line="253" w:lineRule="auto"/>
        <w:tabs>
          <w:tab w:leader="none" w:pos="119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10 basis points, less (b) interest accrued to the Redemption Date, and</w:t>
      </w:r>
    </w:p>
    <w:p>
      <w:pPr>
        <w:spacing w:after="0" w:line="178" w:lineRule="exact"/>
        <w:rPr>
          <w:rFonts w:ascii="Times New Roman" w:cs="Times New Roman" w:eastAsia="Times New Roman" w:hAnsi="Times New Roman"/>
          <w:sz w:val="22"/>
          <w:szCs w:val="22"/>
          <w:color w:val="auto"/>
        </w:rPr>
      </w:pPr>
    </w:p>
    <w:p>
      <w:pPr>
        <w:ind w:left="1180" w:hanging="305"/>
        <w:spacing w:after="0"/>
        <w:tabs>
          <w:tab w:leader="none" w:pos="118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Securities to be redeemed,</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636905</wp:posOffset>
            </wp:positionV>
            <wp:extent cx="545211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6" w:name="page207"/>
    <w:bookmarkEnd w:id="206"/>
    <w:p>
      <w:pPr>
        <w:jc w:val="both"/>
        <w:ind w:left="200" w:right="219" w:firstLine="667"/>
        <w:spacing w:after="0" w:line="256" w:lineRule="auto"/>
        <w:rPr>
          <w:sz w:val="20"/>
          <w:szCs w:val="20"/>
          <w:color w:val="auto"/>
        </w:rPr>
      </w:pPr>
      <w:r>
        <w:rPr>
          <w:rFonts w:ascii="Times New Roman" w:cs="Times New Roman" w:eastAsia="Times New Roman" w:hAnsi="Times New Roman"/>
          <w:sz w:val="22"/>
          <w:szCs w:val="22"/>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“Par Call Date” means January 15, 2032.</w:t>
      </w:r>
    </w:p>
    <w:p>
      <w:pPr>
        <w:spacing w:after="0" w:line="220"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“Treasury Rate” means, with respect to any Redemption Date, the yield determined by the Company in accordance with the following two paragraphs.</w:t>
      </w:r>
    </w:p>
    <w:p>
      <w:pPr>
        <w:spacing w:after="0" w:line="158"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1"/>
          <w:szCs w:val="21"/>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4"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1"/>
          <w:szCs w:val="21"/>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474345</wp:posOffset>
            </wp:positionV>
            <wp:extent cx="545211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7" w:name="page208"/>
    <w:bookmarkEnd w:id="207"/>
    <w:p>
      <w:pPr>
        <w:jc w:val="both"/>
        <w:ind w:left="200" w:right="219"/>
        <w:spacing w:after="0" w:line="263" w:lineRule="auto"/>
        <w:rPr>
          <w:sz w:val="20"/>
          <w:szCs w:val="20"/>
          <w:color w:val="auto"/>
        </w:rPr>
      </w:pPr>
      <w:r>
        <w:rPr>
          <w:rFonts w:ascii="Times New Roman" w:cs="Times New Roman" w:eastAsia="Times New Roman" w:hAnsi="Times New Roman"/>
          <w:sz w:val="22"/>
          <w:szCs w:val="22"/>
          <w:color w:val="auto"/>
        </w:rPr>
        <w:t>security shall be based upon the average of the bid and asked prices (expressed as a percentage of principal amount) at 11:00 a.m., New York City time, of such United States Treasury security, and rounded to three decimal places.</w:t>
      </w:r>
    </w:p>
    <w:p>
      <w:pPr>
        <w:spacing w:after="0" w:line="167" w:lineRule="exact"/>
        <w:rPr>
          <w:sz w:val="20"/>
          <w:szCs w:val="20"/>
          <w:color w:val="auto"/>
        </w:rPr>
      </w:pPr>
    </w:p>
    <w:p>
      <w:pPr>
        <w:jc w:val="both"/>
        <w:ind w:left="200" w:right="219" w:firstLine="667"/>
        <w:spacing w:after="0" w:line="250" w:lineRule="auto"/>
        <w:rPr>
          <w:sz w:val="20"/>
          <w:szCs w:val="20"/>
          <w:color w:val="auto"/>
        </w:rPr>
      </w:pPr>
      <w:r>
        <w:rPr>
          <w:rFonts w:ascii="Times New Roman" w:cs="Times New Roman" w:eastAsia="Times New Roman" w:hAnsi="Times New Roman"/>
          <w:sz w:val="22"/>
          <w:szCs w:val="22"/>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81"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1"/>
          <w:szCs w:val="21"/>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73"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Except as set forth above, the Securities will not be redeemable prior to their Stated Maturity and will not be entitled to the benefit of any sinking fund.</w:t>
      </w:r>
    </w:p>
    <w:p>
      <w:pPr>
        <w:spacing w:after="0" w:line="158"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The Securities may be redeemed in part in a minimum principal amount of $2,000, or any integral multiple of $1,000 in excess thereof.</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Any such redemption will also comply with Article Eleven of the Indenture.</w:t>
      </w:r>
    </w:p>
    <w:p>
      <w:pPr>
        <w:spacing w:after="0" w:line="216" w:lineRule="exact"/>
        <w:rPr>
          <w:sz w:val="20"/>
          <w:szCs w:val="20"/>
          <w:color w:val="auto"/>
        </w:rPr>
      </w:pPr>
    </w:p>
    <w:p>
      <w:pPr>
        <w:ind w:left="1500" w:hanging="643"/>
        <w:spacing w:after="0"/>
        <w:tabs>
          <w:tab w:leader="none" w:pos="150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of Control Offer.</w:t>
      </w:r>
    </w:p>
    <w:p>
      <w:pPr>
        <w:spacing w:after="0" w:line="22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239" w:lineRule="exact"/>
        <w:rPr>
          <w:sz w:val="20"/>
          <w:szCs w:val="20"/>
          <w:color w:val="auto"/>
        </w:rPr>
      </w:pPr>
    </w:p>
    <w:p>
      <w:pPr>
        <w:jc w:val="both"/>
        <w:ind w:left="200" w:right="239" w:firstLine="648"/>
        <w:spacing w:after="0" w:line="271" w:lineRule="auto"/>
        <w:rPr>
          <w:sz w:val="20"/>
          <w:szCs w:val="20"/>
          <w:color w:val="auto"/>
        </w:rPr>
      </w:pPr>
      <w:r>
        <w:rPr>
          <w:rFonts w:ascii="Times New Roman" w:cs="Times New Roman" w:eastAsia="Times New Roman" w:hAnsi="Times New Roman"/>
          <w:sz w:val="22"/>
          <w:szCs w:val="22"/>
          <w:color w:val="auto"/>
        </w:rPr>
        <w:t>Within 30 days following any Change of Control Triggering Event or, at the Company’s option, prior to any Change of Control, but after public announcement of the transaction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8" w:name="page209"/>
    <w:bookmarkEnd w:id="208"/>
    <w:p>
      <w:pPr>
        <w:jc w:val="both"/>
        <w:ind w:left="200" w:right="219"/>
        <w:spacing w:after="0" w:line="249" w:lineRule="auto"/>
        <w:rPr>
          <w:sz w:val="20"/>
          <w:szCs w:val="20"/>
          <w:color w:val="auto"/>
        </w:rPr>
      </w:pPr>
      <w:r>
        <w:rPr>
          <w:rFonts w:ascii="Times New Roman" w:cs="Times New Roman" w:eastAsia="Times New Roman" w:hAnsi="Times New Roman"/>
          <w:sz w:val="22"/>
          <w:szCs w:val="22"/>
          <w:color w:val="auto"/>
        </w:rPr>
        <w:t>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Upon the Change of Control Payment Date, the Company shall, to the extent lawful:</w:t>
      </w:r>
    </w:p>
    <w:p>
      <w:pPr>
        <w:spacing w:after="0" w:line="287" w:lineRule="exact"/>
        <w:rPr>
          <w:sz w:val="20"/>
          <w:szCs w:val="20"/>
          <w:color w:val="auto"/>
        </w:rPr>
      </w:pPr>
    </w:p>
    <w:p>
      <w:pPr>
        <w:ind w:left="1500" w:right="219" w:hanging="643"/>
        <w:spacing w:after="0" w:line="271" w:lineRule="auto"/>
        <w:tabs>
          <w:tab w:leader="none" w:pos="117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accept for payment all Securities or portions of Securities properly tendered and not withdrawn pursuant to the Change of Control Offer;</w:t>
      </w:r>
    </w:p>
    <w:p>
      <w:pPr>
        <w:spacing w:after="0" w:line="157" w:lineRule="exact"/>
        <w:rPr>
          <w:rFonts w:ascii="Times New Roman" w:cs="Times New Roman" w:eastAsia="Times New Roman" w:hAnsi="Times New Roman"/>
          <w:sz w:val="18"/>
          <w:szCs w:val="18"/>
          <w:color w:val="auto"/>
        </w:rPr>
      </w:pPr>
    </w:p>
    <w:p>
      <w:pPr>
        <w:ind w:left="1500" w:right="219" w:hanging="643"/>
        <w:spacing w:after="0" w:line="271" w:lineRule="auto"/>
        <w:tabs>
          <w:tab w:leader="none" w:pos="117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deposit with the Paying Agent an amount equal to the Change of Control Payment in respect of all Securities or portions of Securities properly tendered; and</w:t>
      </w:r>
    </w:p>
    <w:p>
      <w:pPr>
        <w:spacing w:after="0" w:line="157" w:lineRule="exact"/>
        <w:rPr>
          <w:rFonts w:ascii="Times New Roman" w:cs="Times New Roman" w:eastAsia="Times New Roman" w:hAnsi="Times New Roman"/>
          <w:sz w:val="18"/>
          <w:szCs w:val="18"/>
          <w:color w:val="auto"/>
        </w:rPr>
      </w:pPr>
    </w:p>
    <w:p>
      <w:pPr>
        <w:ind w:left="1500" w:right="219" w:hanging="643"/>
        <w:spacing w:after="0" w:line="257" w:lineRule="auto"/>
        <w:tabs>
          <w:tab w:leader="none" w:pos="117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3"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249"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239"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For purposes of the Change of Control Offer provisions of the Securities, the following terms are applicable:</w:t>
      </w:r>
    </w:p>
    <w:p>
      <w:pPr>
        <w:spacing w:after="0" w:line="225" w:lineRule="exact"/>
        <w:rPr>
          <w:sz w:val="20"/>
          <w:szCs w:val="20"/>
          <w:color w:val="auto"/>
        </w:rPr>
      </w:pPr>
    </w:p>
    <w:p>
      <w:pPr>
        <w:jc w:val="both"/>
        <w:ind w:left="200" w:right="219" w:firstLine="667"/>
        <w:spacing w:after="0" w:line="263" w:lineRule="auto"/>
        <w:rPr>
          <w:sz w:val="20"/>
          <w:szCs w:val="20"/>
          <w:color w:val="auto"/>
        </w:rPr>
      </w:pPr>
      <w:r>
        <w:rPr>
          <w:rFonts w:ascii="Times New Roman" w:cs="Times New Roman" w:eastAsia="Times New Roman" w:hAnsi="Times New Roman"/>
          <w:sz w:val="21"/>
          <w:szCs w:val="21"/>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466725</wp:posOffset>
            </wp:positionV>
            <wp:extent cx="545211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9" w:name="page210"/>
    <w:bookmarkEnd w:id="209"/>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93"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1" w:lineRule="exact"/>
        <w:rPr>
          <w:sz w:val="20"/>
          <w:szCs w:val="20"/>
          <w:color w:val="auto"/>
        </w:rPr>
      </w:pPr>
    </w:p>
    <w:p>
      <w:pPr>
        <w:jc w:val="both"/>
        <w:ind w:left="200" w:right="239" w:firstLine="667"/>
        <w:spacing w:after="0" w:line="271" w:lineRule="auto"/>
        <w:rPr>
          <w:sz w:val="20"/>
          <w:szCs w:val="20"/>
          <w:color w:val="auto"/>
        </w:rPr>
      </w:pPr>
      <w:r>
        <w:rPr>
          <w:rFonts w:ascii="Times New Roman" w:cs="Times New Roman" w:eastAsia="Times New Roman" w:hAnsi="Times New Roman"/>
          <w:sz w:val="22"/>
          <w:szCs w:val="22"/>
          <w:color w:val="auto"/>
        </w:rPr>
        <w:t>“Change of Control Triggering Event” means the occurrence of both a Change of Control and a Rating Event.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“Fitch” means Fitch Inc. and its successors.</w:t>
      </w:r>
    </w:p>
    <w:p>
      <w:pPr>
        <w:spacing w:after="0" w:line="220"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“Moody’s” means Moody’s Investors Service, Inc. and its successors.</w:t>
      </w:r>
    </w:p>
    <w:p>
      <w:pPr>
        <w:spacing w:after="0" w:line="220" w:lineRule="exact"/>
        <w:rPr>
          <w:sz w:val="20"/>
          <w:szCs w:val="20"/>
          <w:color w:val="auto"/>
        </w:rPr>
      </w:pPr>
    </w:p>
    <w:p>
      <w:pPr>
        <w:jc w:val="both"/>
        <w:ind w:left="200" w:right="219" w:firstLine="667"/>
        <w:spacing w:after="0" w:line="251" w:lineRule="auto"/>
        <w:rPr>
          <w:sz w:val="20"/>
          <w:szCs w:val="20"/>
          <w:color w:val="auto"/>
        </w:rPr>
      </w:pPr>
      <w:r>
        <w:rPr>
          <w:rFonts w:ascii="Times New Roman" w:cs="Times New Roman" w:eastAsia="Times New Roman" w:hAnsi="Times New Roman"/>
          <w:sz w:val="22"/>
          <w:szCs w:val="22"/>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81" w:lineRule="exact"/>
        <w:rPr>
          <w:sz w:val="20"/>
          <w:szCs w:val="20"/>
          <w:color w:val="auto"/>
        </w:rPr>
      </w:pPr>
    </w:p>
    <w:p>
      <w:pPr>
        <w:jc w:val="both"/>
        <w:ind w:left="200" w:right="219" w:firstLine="667"/>
        <w:spacing w:after="0" w:line="268" w:lineRule="auto"/>
        <w:rPr>
          <w:sz w:val="20"/>
          <w:szCs w:val="20"/>
          <w:color w:val="auto"/>
        </w:rPr>
      </w:pPr>
      <w:r>
        <w:rPr>
          <w:rFonts w:ascii="Times New Roman" w:cs="Times New Roman" w:eastAsia="Times New Roman" w:hAnsi="Times New Roman"/>
          <w:sz w:val="21"/>
          <w:szCs w:val="21"/>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464185</wp:posOffset>
            </wp:positionV>
            <wp:extent cx="545211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0" w:name="page211"/>
    <w:bookmarkEnd w:id="210"/>
    <w:p>
      <w:pPr>
        <w:jc w:val="both"/>
        <w:ind w:left="200" w:right="219"/>
        <w:spacing w:after="0" w:line="263" w:lineRule="auto"/>
        <w:rPr>
          <w:sz w:val="20"/>
          <w:szCs w:val="20"/>
          <w:color w:val="auto"/>
        </w:rPr>
      </w:pPr>
      <w:r>
        <w:rPr>
          <w:rFonts w:ascii="Times New Roman" w:cs="Times New Roman" w:eastAsia="Times New Roman" w:hAnsi="Times New Roman"/>
          <w:sz w:val="22"/>
          <w:szCs w:val="22"/>
          <w:color w:val="auto"/>
        </w:rPr>
        <w:t>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“S&amp;P” means S&amp;P Global Ratings, a division of S&amp;P Global Inc., and its successors.</w:t>
      </w:r>
    </w:p>
    <w:p>
      <w:pPr>
        <w:spacing w:after="0" w:line="220"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9" w:lineRule="exact"/>
        <w:rPr>
          <w:sz w:val="20"/>
          <w:szCs w:val="20"/>
          <w:color w:val="auto"/>
        </w:rPr>
      </w:pPr>
    </w:p>
    <w:p>
      <w:pPr>
        <w:ind w:left="1500" w:hanging="643"/>
        <w:spacing w:after="0"/>
        <w:tabs>
          <w:tab w:leader="none" w:pos="150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Denominations; Transfer; Exchange.</w:t>
      </w:r>
    </w:p>
    <w:p>
      <w:pPr>
        <w:spacing w:after="0" w:line="224" w:lineRule="exact"/>
        <w:rPr>
          <w:sz w:val="20"/>
          <w:szCs w:val="20"/>
          <w:color w:val="auto"/>
        </w:rPr>
      </w:pPr>
    </w:p>
    <w:p>
      <w:pPr>
        <w:jc w:val="both"/>
        <w:ind w:left="200" w:right="219" w:firstLine="667"/>
        <w:spacing w:after="0" w:line="250" w:lineRule="auto"/>
        <w:rPr>
          <w:sz w:val="20"/>
          <w:szCs w:val="20"/>
          <w:color w:val="auto"/>
        </w:rPr>
      </w:pPr>
      <w:r>
        <w:rPr>
          <w:rFonts w:ascii="Times New Roman" w:cs="Times New Roman" w:eastAsia="Times New Roman" w:hAnsi="Times New Roman"/>
          <w:sz w:val="22"/>
          <w:szCs w:val="22"/>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77" w:lineRule="exact"/>
        <w:rPr>
          <w:sz w:val="20"/>
          <w:szCs w:val="20"/>
          <w:color w:val="auto"/>
        </w:rPr>
      </w:pPr>
    </w:p>
    <w:p>
      <w:pPr>
        <w:ind w:left="1500" w:hanging="643"/>
        <w:spacing w:after="0"/>
        <w:tabs>
          <w:tab w:leader="none" w:pos="150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Person Deemed Owners.</w:t>
      </w:r>
    </w:p>
    <w:p>
      <w:pPr>
        <w:spacing w:after="0" w:line="2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registered Holder of a Security may be treated as the owner of it for all purposes.</w:t>
      </w:r>
    </w:p>
    <w:p>
      <w:pPr>
        <w:spacing w:after="0" w:line="216" w:lineRule="exact"/>
        <w:rPr>
          <w:sz w:val="20"/>
          <w:szCs w:val="20"/>
          <w:color w:val="auto"/>
        </w:rPr>
      </w:pPr>
    </w:p>
    <w:p>
      <w:pPr>
        <w:ind w:left="1500" w:hanging="643"/>
        <w:spacing w:after="0"/>
        <w:tabs>
          <w:tab w:leader="none" w:pos="150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 Supplement; Waiver.</w:t>
      </w:r>
    </w:p>
    <w:p>
      <w:pPr>
        <w:spacing w:after="0" w:line="224"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1" w:lineRule="exact"/>
        <w:rPr>
          <w:sz w:val="20"/>
          <w:szCs w:val="20"/>
          <w:color w:val="auto"/>
        </w:rPr>
      </w:pPr>
    </w:p>
    <w:p>
      <w:pPr>
        <w:ind w:left="1500" w:hanging="643"/>
        <w:spacing w:after="0"/>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Defaults and Remedies.</w:t>
      </w:r>
    </w:p>
    <w:p>
      <w:pPr>
        <w:spacing w:after="0" w:line="224" w:lineRule="exact"/>
        <w:rPr>
          <w:sz w:val="20"/>
          <w:szCs w:val="20"/>
          <w:color w:val="auto"/>
        </w:rPr>
      </w:pPr>
    </w:p>
    <w:p>
      <w:pPr>
        <w:jc w:val="both"/>
        <w:ind w:left="200" w:right="219" w:firstLine="667"/>
        <w:spacing w:after="0" w:line="260" w:lineRule="auto"/>
        <w:rPr>
          <w:sz w:val="20"/>
          <w:szCs w:val="20"/>
          <w:color w:val="auto"/>
        </w:rPr>
      </w:pPr>
      <w:r>
        <w:rPr>
          <w:rFonts w:ascii="Times New Roman" w:cs="Times New Roman" w:eastAsia="Times New Roman" w:hAnsi="Times New Roman"/>
          <w:sz w:val="21"/>
          <w:szCs w:val="21"/>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473710</wp:posOffset>
            </wp:positionV>
            <wp:extent cx="545211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1" w:name="page212"/>
    <w:bookmarkEnd w:id="211"/>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189" w:lineRule="exact"/>
        <w:rPr>
          <w:sz w:val="20"/>
          <w:szCs w:val="20"/>
          <w:color w:val="auto"/>
        </w:rPr>
      </w:pPr>
    </w:p>
    <w:p>
      <w:pPr>
        <w:ind w:left="1500" w:hanging="643"/>
        <w:spacing w:after="0"/>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Trustee Dealings with Company.</w:t>
      </w:r>
    </w:p>
    <w:p>
      <w:pPr>
        <w:spacing w:after="0" w:line="224"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75" w:lineRule="exact"/>
        <w:rPr>
          <w:sz w:val="20"/>
          <w:szCs w:val="20"/>
          <w:color w:val="auto"/>
        </w:rPr>
      </w:pPr>
    </w:p>
    <w:p>
      <w:pPr>
        <w:ind w:left="1500" w:hanging="643"/>
        <w:spacing w:after="0"/>
        <w:tabs>
          <w:tab w:leader="none" w:pos="150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Authentication.</w:t>
      </w:r>
    </w:p>
    <w:p>
      <w:pPr>
        <w:spacing w:after="0" w:line="224"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Security shall not be valid until the Trustee or authenticating agent signs the certificate of authentication on the other side of this Security.</w:t>
      </w:r>
    </w:p>
    <w:p>
      <w:pPr>
        <w:spacing w:after="0" w:line="154" w:lineRule="exact"/>
        <w:rPr>
          <w:sz w:val="20"/>
          <w:szCs w:val="20"/>
          <w:color w:val="auto"/>
        </w:rPr>
      </w:pPr>
    </w:p>
    <w:p>
      <w:pPr>
        <w:ind w:left="1500" w:hanging="643"/>
        <w:spacing w:after="0"/>
        <w:tabs>
          <w:tab w:leader="none" w:pos="15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Abbreviations and Defined Terms.</w:t>
      </w:r>
    </w:p>
    <w:p>
      <w:pPr>
        <w:spacing w:after="0" w:line="224"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5" w:lineRule="exact"/>
        <w:rPr>
          <w:sz w:val="20"/>
          <w:szCs w:val="20"/>
          <w:color w:val="auto"/>
        </w:rPr>
      </w:pPr>
    </w:p>
    <w:p>
      <w:pPr>
        <w:ind w:left="1500" w:hanging="643"/>
        <w:spacing w:after="0"/>
        <w:tabs>
          <w:tab w:leader="none" w:pos="150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CUSIP Numbers.</w:t>
      </w:r>
    </w:p>
    <w:p>
      <w:pPr>
        <w:spacing w:after="0" w:line="224" w:lineRule="exact"/>
        <w:rPr>
          <w:sz w:val="20"/>
          <w:szCs w:val="20"/>
          <w:color w:val="auto"/>
        </w:rPr>
      </w:pPr>
    </w:p>
    <w:p>
      <w:pPr>
        <w:jc w:val="both"/>
        <w:ind w:left="200" w:right="219" w:firstLine="667"/>
        <w:spacing w:after="0" w:line="250" w:lineRule="auto"/>
        <w:rPr>
          <w:sz w:val="20"/>
          <w:szCs w:val="20"/>
          <w:color w:val="auto"/>
        </w:rPr>
      </w:pPr>
      <w:r>
        <w:rPr>
          <w:rFonts w:ascii="Times New Roman" w:cs="Times New Roman" w:eastAsia="Times New Roman" w:hAnsi="Times New Roman"/>
          <w:sz w:val="22"/>
          <w:szCs w:val="22"/>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7" w:lineRule="exact"/>
        <w:rPr>
          <w:sz w:val="20"/>
          <w:szCs w:val="20"/>
          <w:color w:val="auto"/>
        </w:rPr>
      </w:pPr>
    </w:p>
    <w:p>
      <w:pPr>
        <w:ind w:left="1500" w:hanging="643"/>
        <w:spacing w:after="0"/>
        <w:tabs>
          <w:tab w:leader="none" w:pos="15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Absolute Obligation.</w:t>
      </w:r>
    </w:p>
    <w:p>
      <w:pPr>
        <w:spacing w:after="0" w:line="224" w:lineRule="exact"/>
        <w:rPr>
          <w:sz w:val="20"/>
          <w:szCs w:val="20"/>
          <w:color w:val="auto"/>
        </w:rPr>
      </w:pPr>
    </w:p>
    <w:p>
      <w:pPr>
        <w:jc w:val="both"/>
        <w:ind w:left="200" w:right="219" w:firstLine="667"/>
        <w:spacing w:after="0" w:line="256" w:lineRule="auto"/>
        <w:rPr>
          <w:sz w:val="20"/>
          <w:szCs w:val="20"/>
          <w:color w:val="auto"/>
        </w:rPr>
      </w:pPr>
      <w:r>
        <w:rPr>
          <w:rFonts w:ascii="Times New Roman" w:cs="Times New Roman" w:eastAsia="Times New Roman" w:hAnsi="Times New Roman"/>
          <w:sz w:val="22"/>
          <w:szCs w:val="22"/>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609600</wp:posOffset>
            </wp:positionV>
            <wp:extent cx="545211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2" w:name="page213"/>
    <w:bookmarkEnd w:id="212"/>
    <w:p>
      <w:pPr>
        <w:ind w:left="1500" w:hanging="643"/>
        <w:spacing w:after="0"/>
        <w:tabs>
          <w:tab w:leader="none" w:pos="150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Recourse.</w:t>
      </w:r>
    </w:p>
    <w:p>
      <w:pPr>
        <w:spacing w:after="0" w:line="224" w:lineRule="exact"/>
        <w:rPr>
          <w:sz w:val="20"/>
          <w:szCs w:val="20"/>
          <w:color w:val="auto"/>
        </w:rPr>
      </w:pPr>
    </w:p>
    <w:p>
      <w:pPr>
        <w:jc w:val="both"/>
        <w:ind w:left="200" w:right="219" w:firstLine="667"/>
        <w:spacing w:after="0" w:line="249" w:lineRule="auto"/>
        <w:rPr>
          <w:sz w:val="20"/>
          <w:szCs w:val="20"/>
          <w:color w:val="auto"/>
        </w:rPr>
      </w:pPr>
      <w:r>
        <w:rPr>
          <w:rFonts w:ascii="Times New Roman" w:cs="Times New Roman" w:eastAsia="Times New Roman" w:hAnsi="Times New Roman"/>
          <w:sz w:val="22"/>
          <w:szCs w:val="22"/>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78" w:lineRule="exact"/>
        <w:rPr>
          <w:sz w:val="20"/>
          <w:szCs w:val="20"/>
          <w:color w:val="auto"/>
        </w:rPr>
      </w:pPr>
    </w:p>
    <w:p>
      <w:pPr>
        <w:ind w:left="1500" w:hanging="643"/>
        <w:spacing w:after="0"/>
        <w:tabs>
          <w:tab w:leader="none" w:pos="150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w:t>
      </w:r>
    </w:p>
    <w:p>
      <w:pPr>
        <w:spacing w:after="0" w:line="224"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Security shall be construed in accordance with and governed by the laws of the State of New York.</w:t>
      </w:r>
    </w:p>
    <w:p>
      <w:pPr>
        <w:spacing w:after="0" w:line="154" w:lineRule="exact"/>
        <w:rPr>
          <w:sz w:val="20"/>
          <w:szCs w:val="20"/>
          <w:color w:val="auto"/>
        </w:rPr>
      </w:pPr>
    </w:p>
    <w:p>
      <w:pPr>
        <w:ind w:left="1500" w:hanging="643"/>
        <w:spacing w:after="0"/>
        <w:tabs>
          <w:tab w:leader="none" w:pos="150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Guarantee.</w:t>
      </w:r>
    </w:p>
    <w:p>
      <w:pPr>
        <w:spacing w:after="0" w:line="224" w:lineRule="exact"/>
        <w:rPr>
          <w:sz w:val="20"/>
          <w:szCs w:val="20"/>
          <w:color w:val="auto"/>
        </w:rPr>
      </w:pPr>
    </w:p>
    <w:p>
      <w:pPr>
        <w:jc w:val="both"/>
        <w:ind w:left="200" w:right="219" w:firstLine="667"/>
        <w:spacing w:after="0" w:line="248" w:lineRule="auto"/>
        <w:rPr>
          <w:sz w:val="20"/>
          <w:szCs w:val="20"/>
          <w:color w:val="auto"/>
        </w:rPr>
      </w:pPr>
      <w:r>
        <w:rPr>
          <w:rFonts w:ascii="Times New Roman" w:cs="Times New Roman" w:eastAsia="Times New Roman" w:hAnsi="Times New Roman"/>
          <w:sz w:val="22"/>
          <w:szCs w:val="22"/>
          <w:color w:val="auto"/>
        </w:rPr>
        <w:t>The Securities will be fully and unconditionally guaranteed on a senior basis by the Company’s wholly owned subsidiary, Waste Management Holdings, Inc., pursuant to the terms and conditions of a Guarantee, dated as of November 4,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8" w:lineRule="exact"/>
        <w:rPr>
          <w:sz w:val="20"/>
          <w:szCs w:val="20"/>
          <w:color w:val="auto"/>
        </w:rPr>
      </w:pPr>
    </w:p>
    <w:p>
      <w:pPr>
        <w:ind w:left="1500" w:hanging="625"/>
        <w:spacing w:after="0"/>
        <w:tabs>
          <w:tab w:leader="none" w:pos="15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Satisfaction and Discharge.</w:t>
      </w:r>
    </w:p>
    <w:p>
      <w:pPr>
        <w:spacing w:after="0" w:line="224"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The Securities will be subject to Section 401 of the Indenture; provided, however, that solely with respect to the Securities, Section 401(1)(B) of the Indenture shall be deleted in its entirety and replaced with the following:</w:t>
      </w:r>
    </w:p>
    <w:p>
      <w:pPr>
        <w:spacing w:after="0" w:line="173" w:lineRule="exact"/>
        <w:rPr>
          <w:sz w:val="20"/>
          <w:szCs w:val="20"/>
          <w:color w:val="auto"/>
        </w:rPr>
      </w:pPr>
    </w:p>
    <w:p>
      <w:pPr>
        <w:ind w:left="860" w:right="239" w:firstLine="19"/>
        <w:spacing w:after="0" w:line="271" w:lineRule="auto"/>
        <w:rPr>
          <w:sz w:val="20"/>
          <w:szCs w:val="20"/>
          <w:color w:val="auto"/>
        </w:rPr>
      </w:pPr>
      <w:r>
        <w:rPr>
          <w:rFonts w:ascii="Times New Roman" w:cs="Times New Roman" w:eastAsia="Times New Roman" w:hAnsi="Times New Roman"/>
          <w:sz w:val="22"/>
          <w:szCs w:val="22"/>
          <w:color w:val="auto"/>
        </w:rPr>
        <w:t>“(B) all such Securities and, in the case of (i) or (ii) below, any coupons appertaining thereto not theretofore delivered to the Trustee for cancellation</w:t>
      </w:r>
    </w:p>
    <w:p>
      <w:pPr>
        <w:spacing w:after="0" w:line="158" w:lineRule="exact"/>
        <w:rPr>
          <w:sz w:val="20"/>
          <w:szCs w:val="20"/>
          <w:color w:val="auto"/>
        </w:rPr>
      </w:pPr>
    </w:p>
    <w:p>
      <w:pPr>
        <w:ind w:left="2800" w:hanging="647"/>
        <w:spacing w:after="0"/>
        <w:tabs>
          <w:tab w:leader="none" w:pos="280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become due and payable, or</w:t>
      </w:r>
    </w:p>
    <w:p>
      <w:pPr>
        <w:spacing w:after="0" w:line="219" w:lineRule="exact"/>
        <w:rPr>
          <w:rFonts w:ascii="Times New Roman" w:cs="Times New Roman" w:eastAsia="Times New Roman" w:hAnsi="Times New Roman"/>
          <w:sz w:val="22"/>
          <w:szCs w:val="22"/>
          <w:color w:val="auto"/>
        </w:rPr>
      </w:pPr>
    </w:p>
    <w:p>
      <w:pPr>
        <w:ind w:left="4740" w:hanging="643"/>
        <w:spacing w:after="0"/>
        <w:tabs>
          <w:tab w:leader="none" w:pos="474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become due and payable at their Stated</w:t>
      </w:r>
    </w:p>
    <w:p>
      <w:pPr>
        <w:spacing w:after="0" w:line="27" w:lineRule="exact"/>
        <w:rPr>
          <w:rFonts w:ascii="Times New Roman" w:cs="Times New Roman" w:eastAsia="Times New Roman" w:hAnsi="Times New Roman"/>
          <w:sz w:val="22"/>
          <w:szCs w:val="22"/>
          <w:color w:val="auto"/>
        </w:rPr>
      </w:pPr>
    </w:p>
    <w:p>
      <w:pPr>
        <w:ind w:left="2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Maturity within one year, or</w:t>
      </w:r>
    </w:p>
    <w:p>
      <w:pPr>
        <w:spacing w:after="0" w:line="195" w:lineRule="exact"/>
        <w:rPr>
          <w:rFonts w:ascii="Times New Roman" w:cs="Times New Roman" w:eastAsia="Times New Roman" w:hAnsi="Times New Roman"/>
          <w:sz w:val="22"/>
          <w:szCs w:val="22"/>
          <w:color w:val="auto"/>
        </w:rPr>
      </w:pPr>
    </w:p>
    <w:p>
      <w:pPr>
        <w:jc w:val="both"/>
        <w:ind w:left="2160" w:right="219" w:firstLine="1937"/>
        <w:spacing w:after="0" w:line="275" w:lineRule="auto"/>
        <w:tabs>
          <w:tab w:leader="none" w:pos="4752" w:val="left"/>
        </w:tabs>
        <w:numPr>
          <w:ilvl w:val="1"/>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are to be called for redemption within one year under arrangements satisfactory to the Trustee for the giving of notice of redemption by the Trustee in the name, and at the expense, of the Company;</w:t>
      </w:r>
    </w:p>
    <w:p>
      <w:pPr>
        <w:spacing w:after="0" w:line="155" w:lineRule="exact"/>
        <w:rPr>
          <w:sz w:val="20"/>
          <w:szCs w:val="20"/>
          <w:color w:val="auto"/>
        </w:rPr>
      </w:pPr>
    </w:p>
    <w:p>
      <w:pPr>
        <w:jc w:val="both"/>
        <w:ind w:left="200" w:right="219" w:firstLine="667"/>
        <w:spacing w:after="0" w:line="263" w:lineRule="auto"/>
        <w:rPr>
          <w:sz w:val="20"/>
          <w:szCs w:val="20"/>
          <w:color w:val="auto"/>
        </w:rPr>
      </w:pPr>
      <w:r>
        <w:rPr>
          <w:rFonts w:ascii="Times New Roman" w:cs="Times New Roman" w:eastAsia="Times New Roman" w:hAnsi="Times New Roman"/>
          <w:sz w:val="22"/>
          <w:szCs w:val="22"/>
          <w:color w:val="auto"/>
        </w:rPr>
        <w:t>and the Company, in the case of (i), (ii) or (iii) above, has deposited or caused to be deposited with the Trustee as trust funds, U.S. legal tender, U.S. Governmental Obligations or a combination thereof, an amount sufficient to pay and discharge the entire indebtedness on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466725</wp:posOffset>
            </wp:positionV>
            <wp:extent cx="545211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13" w:name="page214"/>
    <w:bookmarkEnd w:id="213"/>
    <w:p>
      <w:pPr>
        <w:jc w:val="both"/>
        <w:ind w:left="200" w:right="219"/>
        <w:spacing w:after="0" w:line="260" w:lineRule="auto"/>
        <w:rPr>
          <w:sz w:val="20"/>
          <w:szCs w:val="20"/>
          <w:color w:val="auto"/>
        </w:rPr>
      </w:pPr>
      <w:r>
        <w:rPr>
          <w:rFonts w:ascii="Times New Roman" w:cs="Times New Roman" w:eastAsia="Times New Roman" w:hAnsi="Times New Roman"/>
          <w:sz w:val="21"/>
          <w:szCs w:val="21"/>
          <w:color w:val="auto"/>
        </w:rPr>
        <w:t>Securities and coupons not theretofore delivered to the Trustee for cancellation, for principal (and premium, if any) and any interest to the date of such deposit (in the case of Securities which have become due and payable) or to the Stated Maturity or Redemption Date, as the case may be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 For purposes of this section, “U.S. Governmental Obligations” means direct non-callable obligations of, or guaranteed by, the United States of America for the payment of which guarantee or obligations the full faith and credit of the United States is pledged.”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1236345</wp:posOffset>
            </wp:positionV>
            <wp:extent cx="545211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4" w:name="page215"/>
    <w:bookmarkEnd w:id="214"/>
    <w:p>
      <w:pPr>
        <w:jc w:val="center"/>
        <w:ind w:right="19"/>
        <w:spacing w:after="0"/>
        <w:rPr>
          <w:sz w:val="20"/>
          <w:szCs w:val="20"/>
          <w:color w:val="auto"/>
        </w:rPr>
      </w:pPr>
      <w:r>
        <w:rPr>
          <w:rFonts w:ascii="Times New Roman" w:cs="Times New Roman" w:eastAsia="Times New Roman" w:hAnsi="Times New Roman"/>
          <w:sz w:val="22"/>
          <w:szCs w:val="22"/>
          <w:color w:val="auto"/>
        </w:rPr>
        <w:t>SCHEDULE OF EXCHANGES OF DEFINITIVE SECURITY</w:t>
      </w:r>
    </w:p>
    <w:p>
      <w:pPr>
        <w:spacing w:after="0" w:line="220" w:lineRule="exact"/>
        <w:rPr>
          <w:sz w:val="20"/>
          <w:szCs w:val="20"/>
          <w:color w:val="auto"/>
        </w:rPr>
      </w:pPr>
    </w:p>
    <w:p>
      <w:pPr>
        <w:ind w:left="200" w:right="219" w:firstLine="667"/>
        <w:spacing w:after="0" w:line="284" w:lineRule="auto"/>
        <w:rPr>
          <w:sz w:val="20"/>
          <w:szCs w:val="20"/>
          <w:color w:val="auto"/>
        </w:rPr>
      </w:pPr>
      <w:r>
        <w:rPr>
          <w:rFonts w:ascii="Times New Roman" w:cs="Times New Roman" w:eastAsia="Times New Roman" w:hAnsi="Times New Roman"/>
          <w:sz w:val="22"/>
          <w:szCs w:val="22"/>
          <w:color w:val="auto"/>
        </w:rPr>
        <w:t>The following exchanges of a part of this Book-Entry Security for definitive Securities have been made:</w:t>
      </w:r>
    </w:p>
    <w:p>
      <w:pPr>
        <w:spacing w:after="0" w:line="200" w:lineRule="exact"/>
        <w:rPr>
          <w:sz w:val="20"/>
          <w:szCs w:val="20"/>
          <w:color w:val="auto"/>
        </w:rPr>
      </w:pPr>
    </w:p>
    <w:p>
      <w:pPr>
        <w:spacing w:after="0" w:line="36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decrease</w:t>
            </w:r>
          </w:p>
        </w:tc>
        <w:tc>
          <w:tcPr>
            <w:tcW w:w="1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increase</w:t>
            </w:r>
          </w:p>
        </w:tc>
        <w:tc>
          <w:tcPr>
            <w:tcW w:w="1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this Book-Entry</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this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 this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following</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 officer</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Book-Entry</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Book-Entry</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such decrease (or</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Trustee or</w:t>
            </w:r>
          </w:p>
        </w:tc>
        <w:tc>
          <w:tcPr>
            <w:tcW w:w="60" w:type="dxa"/>
            <w:vAlign w:val="bottom"/>
          </w:tcPr>
          <w:p>
            <w:pPr>
              <w:spacing w:after="0"/>
              <w:rPr>
                <w:sz w:val="18"/>
                <w:szCs w:val="18"/>
                <w:color w:val="auto"/>
              </w:rPr>
            </w:pPr>
          </w:p>
        </w:tc>
      </w:tr>
      <w:tr>
        <w:trPr>
          <w:trHeight w:val="259"/>
        </w:trPr>
        <w:tc>
          <w:tcPr>
            <w:tcW w:w="80" w:type="dxa"/>
            <w:vAlign w:val="bottom"/>
          </w:tcPr>
          <w:p>
            <w:pPr>
              <w:spacing w:after="0"/>
              <w:rPr>
                <w:sz w:val="22"/>
                <w:szCs w:val="22"/>
                <w:color w:val="auto"/>
              </w:rPr>
            </w:pPr>
          </w:p>
        </w:tc>
        <w:tc>
          <w:tcPr>
            <w:tcW w:w="1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18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80" w:type="dxa"/>
            <w:vAlign w:val="bottom"/>
          </w:tcPr>
          <w:p>
            <w:pPr>
              <w:spacing w:after="0"/>
              <w:rPr>
                <w:sz w:val="22"/>
                <w:szCs w:val="22"/>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Custodian</w:t>
            </w:r>
          </w:p>
        </w:tc>
        <w:tc>
          <w:tcPr>
            <w:tcW w:w="60" w:type="dxa"/>
            <w:vAlign w:val="bottom"/>
            <w:tcBorders>
              <w:bottom w:val="single" w:sz="8" w:color="auto"/>
            </w:tcBorders>
          </w:tcPr>
          <w:p>
            <w:pPr>
              <w:spacing w:after="0"/>
              <w:rPr>
                <w:sz w:val="22"/>
                <w:szCs w:val="22"/>
                <w:color w:val="auto"/>
              </w:rPr>
            </w:pPr>
          </w:p>
        </w:tc>
      </w:tr>
      <w:tr>
        <w:trPr>
          <w:trHeight w:val="1775"/>
        </w:trPr>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215" w:name="page216"/>
    <w:bookmarkEnd w:id="215"/>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4.11</w:t>
      </w:r>
    </w:p>
    <w:p>
      <w:pPr>
        <w:spacing w:after="0" w:line="395" w:lineRule="exact"/>
        <w:rPr>
          <w:sz w:val="20"/>
          <w:szCs w:val="20"/>
          <w:color w:val="auto"/>
        </w:rPr>
      </w:pPr>
    </w:p>
    <w:p>
      <w:pPr>
        <w:jc w:val="center"/>
        <w:ind w:left="200" w:right="219"/>
        <w:spacing w:after="0" w:line="259" w:lineRule="auto"/>
        <w:rPr>
          <w:sz w:val="20"/>
          <w:szCs w:val="20"/>
          <w:color w:val="auto"/>
        </w:rPr>
      </w:pPr>
      <w:r>
        <w:rPr>
          <w:rFonts w:ascii="Times New Roman" w:cs="Times New Roman" w:eastAsia="Times New Roman" w:hAnsi="Times New Roman"/>
          <w:sz w:val="22"/>
          <w:szCs w:val="22"/>
          <w:b w:val="1"/>
          <w:bCs w:val="1"/>
          <w:color w:val="auto"/>
        </w:rPr>
        <w:t>WASTE MANAGEMENT, INC. Officers’ Certificate Delivered Pursuant to Section 301 of the Indenture dated as of September 10, 1997</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November 4, 2024</w:t>
      </w: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The undersigned, the Vice President and Treasurer, and the Vice President and</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Corporate Secretary of Waste Management, Inc. (the “Company”), hereby certify that:</w:t>
      </w:r>
    </w:p>
    <w:p>
      <w:pPr>
        <w:spacing w:after="0" w:line="196" w:lineRule="exact"/>
        <w:rPr>
          <w:sz w:val="20"/>
          <w:szCs w:val="20"/>
          <w:color w:val="auto"/>
        </w:rPr>
      </w:pPr>
    </w:p>
    <w:p>
      <w:pPr>
        <w:jc w:val="both"/>
        <w:ind w:left="200" w:right="219" w:firstLine="1305"/>
        <w:spacing w:after="0" w:line="248" w:lineRule="auto"/>
        <w:tabs>
          <w:tab w:leader="none" w:pos="214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November 4, 2024 (the “Order”) for the authentication and delivery by the Trustee of $1,500,000,000 aggregate principal amount of 4.950% Senior Notes due 2035 (the “Notes”).</w:t>
      </w:r>
    </w:p>
    <w:p>
      <w:pPr>
        <w:spacing w:after="0" w:line="181" w:lineRule="exact"/>
        <w:rPr>
          <w:rFonts w:ascii="Times New Roman" w:cs="Times New Roman" w:eastAsia="Times New Roman" w:hAnsi="Times New Roman"/>
          <w:sz w:val="22"/>
          <w:szCs w:val="22"/>
          <w:color w:val="auto"/>
        </w:rPr>
      </w:pPr>
    </w:p>
    <w:p>
      <w:pPr>
        <w:ind w:left="200" w:right="219" w:firstLine="1305"/>
        <w:spacing w:after="0" w:line="271" w:lineRule="auto"/>
        <w:tabs>
          <w:tab w:leader="none" w:pos="214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have read Sections 102, 103, 301 and 303 of the Indenture and the definitions in the Indenture relating thereto.</w:t>
      </w:r>
    </w:p>
    <w:p>
      <w:pPr>
        <w:spacing w:after="0" w:line="157" w:lineRule="exact"/>
        <w:rPr>
          <w:rFonts w:ascii="Times New Roman" w:cs="Times New Roman" w:eastAsia="Times New Roman" w:hAnsi="Times New Roman"/>
          <w:sz w:val="22"/>
          <w:szCs w:val="22"/>
          <w:color w:val="auto"/>
        </w:rPr>
      </w:pPr>
    </w:p>
    <w:p>
      <w:pPr>
        <w:jc w:val="both"/>
        <w:ind w:left="200" w:right="239" w:firstLine="1305"/>
        <w:spacing w:after="0" w:line="256" w:lineRule="auto"/>
        <w:tabs>
          <w:tab w:leader="none" w:pos="214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76" w:lineRule="exact"/>
        <w:rPr>
          <w:rFonts w:ascii="Times New Roman" w:cs="Times New Roman" w:eastAsia="Times New Roman" w:hAnsi="Times New Roman"/>
          <w:sz w:val="22"/>
          <w:szCs w:val="22"/>
          <w:color w:val="auto"/>
        </w:rPr>
      </w:pPr>
    </w:p>
    <w:p>
      <w:pPr>
        <w:ind w:left="200" w:right="239" w:firstLine="1305"/>
        <w:spacing w:after="0" w:line="271" w:lineRule="auto"/>
        <w:tabs>
          <w:tab w:leader="none" w:pos="214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have examined the Order, and they have read the covenants, conditions and provisions of the Indenture relating thereto.</w:t>
      </w:r>
    </w:p>
    <w:p>
      <w:pPr>
        <w:spacing w:after="0" w:line="157"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covenants and conditions (including all conditions precedent) provided in the Indenture to the authentication and delivery by the Trustee of $1,500,000,000 aggregate principal amount of the Notes have been complied with, and such Notes may be delivered in accordance with the Order as provided in the Indenture.</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of the Notes (including the Form of Note) as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to this Certificate have been approved by officers of the Company as authorized by resolutions duly adopted on March 1, 2022, August 21, 2023, August 26, 2024 and October 3, 2024 by the Board of Directors of the Company, which are in full force and effect as of the date hereof.</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647700</wp:posOffset>
            </wp:positionV>
            <wp:extent cx="545211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16" w:name="page217"/>
    <w:bookmarkEnd w:id="216"/>
    <w:p>
      <w:pPr>
        <w:ind w:left="200" w:right="439"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hereunto executed this Officers’ Certificate as of the date first written above.</w:t>
      </w:r>
    </w:p>
    <w:p>
      <w:pPr>
        <w:spacing w:after="0" w:line="200" w:lineRule="exact"/>
        <w:rPr>
          <w:sz w:val="20"/>
          <w:szCs w:val="20"/>
          <w:color w:val="auto"/>
        </w:rPr>
      </w:pPr>
    </w:p>
    <w:p>
      <w:pPr>
        <w:spacing w:after="0" w:line="29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/s/ Leslie K. Nagy</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-160020</wp:posOffset>
            </wp:positionV>
            <wp:extent cx="26060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Vice President and Treasurer</w:t>
      </w:r>
    </w:p>
    <w:p>
      <w:pPr>
        <w:spacing w:after="0" w:line="25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/s/ Courtney A. Tippy</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-160020</wp:posOffset>
            </wp:positionV>
            <wp:extent cx="26060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Vice President and Corporate Secretary</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301 of the Indenture dated as of September 10, 1997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7" w:name="page218"/>
    <w:bookmarkEnd w:id="217"/>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Annex A</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Terms of the Notes</w:t>
      </w:r>
    </w:p>
    <w:p>
      <w:pPr>
        <w:spacing w:after="0" w:line="263"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auto"/>
        </w:rPr>
        <w:t>Pursuant to authority granted by the Board of Directors of the Company on March 1, 2022, August 21, 2023, August 26, 2024 and October 3, 2024 and the Sole Director of Waste Management Holdings, Inc. on October 3, 2024,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91" w:lineRule="exact"/>
        <w:rPr>
          <w:sz w:val="20"/>
          <w:szCs w:val="20"/>
          <w:color w:val="auto"/>
        </w:rPr>
      </w:pPr>
    </w:p>
    <w:p>
      <w:pPr>
        <w:ind w:left="860" w:hanging="651"/>
        <w:spacing w:after="0"/>
        <w:tabs>
          <w:tab w:leader="none" w:pos="860"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title of the series of Securities shall be “4.950% Senior Notes due 2035” (the “Notes”).</w:t>
      </w:r>
    </w:p>
    <w:p>
      <w:pPr>
        <w:spacing w:after="0" w:line="231" w:lineRule="exact"/>
        <w:rPr>
          <w:rFonts w:ascii="Times New Roman" w:cs="Times New Roman" w:eastAsia="Times New Roman" w:hAnsi="Times New Roman"/>
          <w:sz w:val="21"/>
          <w:szCs w:val="21"/>
          <w:color w:val="auto"/>
        </w:rPr>
      </w:pPr>
    </w:p>
    <w:p>
      <w:pPr>
        <w:ind w:left="860" w:hanging="651"/>
        <w:spacing w:after="0"/>
        <w:tabs>
          <w:tab w:leader="none" w:pos="86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general unsecured, senior obligations of the Company.</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aggregate principal amount of the Notes that may be authenticated and delivered under the Indenture shall be $1,500,000,000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81"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each Note shall be payable on March 15, 2035.</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Note shall bear interest from November 4, 2024 at the fixed rate of 4.950% per annum; the Interest Payment Dates on which such interest shall be payable shall be March 15 and September 15 of each year, commencing March 15, 2025, until maturity, unless such date falls on a day that is not a Business Day, in which case, such payment shall be made on the next day that is a Business Day. The Regular Record Date for the determination of Holders to whom interest is payable shall be March 1 or September 1, respectively, immediately preceding such date, as the case may be.</w:t>
      </w:r>
    </w:p>
    <w:p>
      <w:pPr>
        <w:spacing w:after="0" w:line="181" w:lineRule="exact"/>
        <w:rPr>
          <w:rFonts w:ascii="Times New Roman" w:cs="Times New Roman" w:eastAsia="Times New Roman" w:hAnsi="Times New Roman"/>
          <w:sz w:val="22"/>
          <w:szCs w:val="22"/>
          <w:color w:val="auto"/>
        </w:rPr>
      </w:pPr>
    </w:p>
    <w:p>
      <w:pPr>
        <w:jc w:val="both"/>
        <w:ind w:left="860" w:right="219" w:hanging="651"/>
        <w:spacing w:after="0" w:line="252" w:lineRule="auto"/>
        <w:tabs>
          <w:tab w:leader="none" w:pos="86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79"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615950</wp:posOffset>
            </wp:positionV>
            <wp:extent cx="5452110"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218" w:name="page219"/>
    <w:bookmarkEnd w:id="218"/>
    <w:p>
      <w:pPr>
        <w:jc w:val="both"/>
        <w:ind w:left="860" w:right="219" w:hanging="651"/>
        <w:spacing w:after="0" w:line="251" w:lineRule="auto"/>
        <w:tabs>
          <w:tab w:leader="none" w:pos="86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67" w:lineRule="exact"/>
        <w:rPr>
          <w:rFonts w:ascii="Times New Roman" w:cs="Times New Roman" w:eastAsia="Times New Roman" w:hAnsi="Times New Roman"/>
          <w:sz w:val="22"/>
          <w:szCs w:val="22"/>
          <w:color w:val="auto"/>
        </w:rPr>
      </w:pPr>
    </w:p>
    <w:p>
      <w:pPr>
        <w:jc w:val="both"/>
        <w:ind w:left="860" w:right="239" w:hanging="651"/>
        <w:spacing w:after="0" w:line="281" w:lineRule="auto"/>
        <w:tabs>
          <w:tab w:leader="none" w:pos="860"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37" w:lineRule="exact"/>
        <w:rPr>
          <w:rFonts w:ascii="Times New Roman" w:cs="Times New Roman" w:eastAsia="Times New Roman" w:hAnsi="Times New Roman"/>
          <w:sz w:val="21"/>
          <w:szCs w:val="21"/>
          <w:color w:val="auto"/>
        </w:rPr>
      </w:pPr>
    </w:p>
    <w:p>
      <w:pPr>
        <w:jc w:val="both"/>
        <w:ind w:left="1500" w:right="219" w:firstLine="5"/>
        <w:spacing w:after="0" w:line="253" w:lineRule="auto"/>
        <w:tabs>
          <w:tab w:leader="none" w:pos="1857"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15 basis points, less (b) interest accrued to the Redemption Date, and</w:t>
      </w:r>
    </w:p>
    <w:p>
      <w:pPr>
        <w:spacing w:after="0" w:line="178" w:lineRule="exact"/>
        <w:rPr>
          <w:rFonts w:ascii="Times New Roman" w:cs="Times New Roman" w:eastAsia="Times New Roman" w:hAnsi="Times New Roman"/>
          <w:sz w:val="22"/>
          <w:szCs w:val="22"/>
          <w:color w:val="auto"/>
        </w:rPr>
      </w:pPr>
    </w:p>
    <w:p>
      <w:pPr>
        <w:ind w:left="1820" w:hanging="315"/>
        <w:spacing w:after="0"/>
        <w:tabs>
          <w:tab w:leader="none" w:pos="1820"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Notes to be redeemed,</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plus, in either case, accrued and unpaid interest thereon to the Redemption Date.</w:t>
      </w:r>
    </w:p>
    <w:p>
      <w:pPr>
        <w:spacing w:after="0" w:line="220" w:lineRule="exact"/>
        <w:rPr>
          <w:sz w:val="20"/>
          <w:szCs w:val="20"/>
          <w:color w:val="auto"/>
        </w:rPr>
      </w:pPr>
    </w:p>
    <w:p>
      <w:pPr>
        <w:jc w:val="both"/>
        <w:ind w:left="860" w:right="219"/>
        <w:spacing w:after="0" w:line="252" w:lineRule="auto"/>
        <w:rPr>
          <w:sz w:val="20"/>
          <w:szCs w:val="20"/>
          <w:color w:val="auto"/>
        </w:rPr>
      </w:pPr>
      <w:r>
        <w:rPr>
          <w:rFonts w:ascii="Times New Roman" w:cs="Times New Roman" w:eastAsia="Times New Roman" w:hAnsi="Times New Roman"/>
          <w:sz w:val="22"/>
          <w:szCs w:val="22"/>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“Par Call Date” means December 15, 2034.</w:t>
      </w:r>
    </w:p>
    <w:p>
      <w:pPr>
        <w:spacing w:after="0" w:line="220" w:lineRule="exact"/>
        <w:rPr>
          <w:sz w:val="20"/>
          <w:szCs w:val="20"/>
          <w:color w:val="auto"/>
        </w:rPr>
      </w:pPr>
    </w:p>
    <w:p>
      <w:pPr>
        <w:jc w:val="both"/>
        <w:ind w:left="860" w:right="239" w:hanging="651"/>
        <w:spacing w:after="0" w:line="257" w:lineRule="auto"/>
        <w:tabs>
          <w:tab w:leader="none" w:pos="86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no obligation to redeem, purchase or repay the Notes pursuant to any mandatory redemption, sinking fund or analogous provisions or at the option of a Holder thereof.</w:t>
      </w:r>
    </w:p>
    <w:p>
      <w:pPr>
        <w:spacing w:after="0" w:line="172"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will be subject to defeasance and discharge as contemplated by Section 1302 of the Indenture and to covenant defeasance under Section 1303 of the Indenture.</w:t>
      </w:r>
    </w:p>
    <w:p>
      <w:pPr>
        <w:spacing w:after="0" w:line="157"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entitled to the benefit of the covenants contained in Sections 1008 and 1009 of the Indenture.</w:t>
      </w:r>
    </w:p>
    <w:p>
      <w:pPr>
        <w:spacing w:after="0" w:line="157"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 of New York Mellon Trust Company, N.A. shall serve initially as Security Registrar for the Notes.</w:t>
      </w:r>
    </w:p>
    <w:p>
      <w:pPr>
        <w:spacing w:after="0" w:line="157"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substantially in the form of Exhibit A hereto.</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65" w:lineRule="auto"/>
        <w:tabs>
          <w:tab w:leader="none" w:pos="860"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Notes will be fully and unconditionally guaranteed on a senior basis by the Company’s wholly owned subsidiary, Waste Management Holdings, Inc., pursuant to the terms and conditions of a Guarantee Agreement dated November 4, 2024 (the “Guarantee”). The amount of the Guarantee will be limited to the extent required under applicable fraudulent conveyance laws to cause the Guarantee to be enforceable. The terms and conditions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602615</wp:posOffset>
            </wp:positionV>
            <wp:extent cx="545211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9" w:name="page220"/>
    <w:bookmarkEnd w:id="219"/>
    <w:p>
      <w:pPr>
        <w:ind w:left="860" w:right="239"/>
        <w:spacing w:after="0" w:line="271" w:lineRule="auto"/>
        <w:rPr>
          <w:sz w:val="20"/>
          <w:szCs w:val="20"/>
          <w:color w:val="auto"/>
        </w:rPr>
      </w:pPr>
      <w:r>
        <w:rPr>
          <w:rFonts w:ascii="Times New Roman" w:cs="Times New Roman" w:eastAsia="Times New Roman" w:hAnsi="Times New Roman"/>
          <w:sz w:val="22"/>
          <w:szCs w:val="22"/>
          <w:color w:val="auto"/>
        </w:rPr>
        <w:t>Guarantee shall continue in full force and effect for the benefit of holders of the Notes until release thereof as set forth in Section 6 of the Guarantee.</w:t>
      </w:r>
    </w:p>
    <w:p>
      <w:pPr>
        <w:spacing w:after="0" w:line="158" w:lineRule="exact"/>
        <w:rPr>
          <w:sz w:val="20"/>
          <w:szCs w:val="20"/>
          <w:color w:val="auto"/>
        </w:rPr>
      </w:pPr>
    </w:p>
    <w:p>
      <w:pPr>
        <w:jc w:val="both"/>
        <w:ind w:left="860" w:right="219" w:hanging="651"/>
        <w:spacing w:after="0" w:line="263" w:lineRule="auto"/>
        <w:tabs>
          <w:tab w:leader="none" w:pos="86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1537970</wp:posOffset>
            </wp:positionV>
            <wp:extent cx="545211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0" w:name="page221"/>
    <w:bookmarkEnd w:id="220"/>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655320</wp:posOffset>
            </wp:positionV>
            <wp:extent cx="545211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21" w:name="page222"/>
    <w:bookmarkEnd w:id="221"/>
    <w:p>
      <w:pPr>
        <w:jc w:val="center"/>
        <w:ind w:right="19"/>
        <w:spacing w:after="0"/>
        <w:rPr>
          <w:sz w:val="20"/>
          <w:szCs w:val="20"/>
          <w:color w:val="auto"/>
        </w:rPr>
      </w:pPr>
      <w:r>
        <w:rPr>
          <w:rFonts w:ascii="Times New Roman" w:cs="Times New Roman" w:eastAsia="Times New Roman" w:hAnsi="Times New Roman"/>
          <w:sz w:val="22"/>
          <w:szCs w:val="22"/>
          <w:color w:val="auto"/>
        </w:rPr>
        <w:t>BOOK-ENTRY SECURITY</w:t>
      </w:r>
    </w:p>
    <w:p>
      <w:pPr>
        <w:spacing w:after="0" w:line="220" w:lineRule="exact"/>
        <w:rPr>
          <w:sz w:val="20"/>
          <w:szCs w:val="20"/>
          <w:color w:val="auto"/>
        </w:rPr>
      </w:pPr>
    </w:p>
    <w:p>
      <w:pPr>
        <w:jc w:val="both"/>
        <w:ind w:left="200" w:right="219" w:firstLine="667"/>
        <w:spacing w:after="0" w:line="247" w:lineRule="auto"/>
        <w:rPr>
          <w:sz w:val="20"/>
          <w:szCs w:val="20"/>
          <w:color w:val="auto"/>
        </w:rPr>
      </w:pPr>
      <w:r>
        <w:rPr>
          <w:rFonts w:ascii="Times New Roman" w:cs="Times New Roman" w:eastAsia="Times New Roman" w:hAnsi="Times New Roman"/>
          <w:sz w:val="22"/>
          <w:szCs w:val="22"/>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91"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282"/>
        </w:trPr>
        <w:tc>
          <w:tcPr>
            <w:tcW w:w="5800" w:type="dxa"/>
            <w:vAlign w:val="bottom"/>
          </w:tcPr>
          <w:p>
            <w:pPr>
              <w:spacing w:after="0"/>
              <w:rPr>
                <w:sz w:val="20"/>
                <w:szCs w:val="20"/>
                <w:color w:val="auto"/>
              </w:rPr>
            </w:pPr>
            <w:r>
              <w:rPr>
                <w:rFonts w:ascii="Times New Roman" w:cs="Times New Roman" w:eastAsia="Times New Roman" w:hAnsi="Times New Roman"/>
                <w:sz w:val="22"/>
                <w:szCs w:val="22"/>
                <w:color w:val="auto"/>
              </w:rPr>
              <w:t>RGN</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Principal Amount</w:t>
            </w:r>
          </w:p>
        </w:tc>
        <w:tc>
          <w:tcPr>
            <w:tcW w:w="0" w:type="dxa"/>
            <w:vAlign w:val="bottom"/>
          </w:tcPr>
          <w:p>
            <w:pPr>
              <w:spacing w:after="0"/>
              <w:rPr>
                <w:sz w:val="1"/>
                <w:szCs w:val="1"/>
                <w:color w:val="auto"/>
              </w:rPr>
            </w:pPr>
          </w:p>
        </w:tc>
      </w:tr>
      <w:tr>
        <w:trPr>
          <w:trHeight w:val="460"/>
        </w:trPr>
        <w:tc>
          <w:tcPr>
            <w:tcW w:w="5800" w:type="dxa"/>
            <w:vAlign w:val="bottom"/>
          </w:tcPr>
          <w:p>
            <w:pPr>
              <w:spacing w:after="0"/>
              <w:rPr>
                <w:sz w:val="24"/>
                <w:szCs w:val="24"/>
                <w:color w:val="auto"/>
              </w:rPr>
            </w:pPr>
          </w:p>
        </w:tc>
        <w:tc>
          <w:tcPr>
            <w:tcW w:w="198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U.S. $</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6"/>
        </w:trPr>
        <w:tc>
          <w:tcPr>
            <w:tcW w:w="5800" w:type="dxa"/>
            <w:vAlign w:val="bottom"/>
          </w:tcPr>
          <w:p>
            <w:pPr>
              <w:spacing w:after="0"/>
              <w:rPr>
                <w:sz w:val="22"/>
                <w:szCs w:val="22"/>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which may be decreased</w:t>
            </w:r>
          </w:p>
        </w:tc>
        <w:tc>
          <w:tcPr>
            <w:tcW w:w="0" w:type="dxa"/>
            <w:vAlign w:val="bottom"/>
          </w:tcPr>
          <w:p>
            <w:pPr>
              <w:spacing w:after="0"/>
              <w:rPr>
                <w:sz w:val="1"/>
                <w:szCs w:val="1"/>
                <w:color w:val="auto"/>
              </w:rPr>
            </w:pPr>
          </w:p>
        </w:tc>
      </w:tr>
      <w:tr>
        <w:trPr>
          <w:trHeight w:val="257"/>
        </w:trPr>
        <w:tc>
          <w:tcPr>
            <w:tcW w:w="5800" w:type="dxa"/>
            <w:vAlign w:val="bottom"/>
          </w:tcPr>
          <w:p>
            <w:pPr>
              <w:spacing w:after="0"/>
              <w:rPr>
                <w:sz w:val="22"/>
                <w:szCs w:val="22"/>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by the Schedule of</w:t>
            </w:r>
          </w:p>
        </w:tc>
        <w:tc>
          <w:tcPr>
            <w:tcW w:w="0" w:type="dxa"/>
            <w:vAlign w:val="bottom"/>
          </w:tcPr>
          <w:p>
            <w:pPr>
              <w:spacing w:after="0"/>
              <w:rPr>
                <w:sz w:val="1"/>
                <w:szCs w:val="1"/>
                <w:color w:val="auto"/>
              </w:rPr>
            </w:pPr>
          </w:p>
        </w:tc>
      </w:tr>
      <w:tr>
        <w:trPr>
          <w:trHeight w:val="256"/>
        </w:trPr>
        <w:tc>
          <w:tcPr>
            <w:tcW w:w="580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WASTE MANAGEMENT, INC.</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Exchanges of Definitive</w:t>
            </w:r>
          </w:p>
        </w:tc>
        <w:tc>
          <w:tcPr>
            <w:tcW w:w="0" w:type="dxa"/>
            <w:vAlign w:val="bottom"/>
          </w:tcPr>
          <w:p>
            <w:pPr>
              <w:spacing w:after="0"/>
              <w:rPr>
                <w:sz w:val="1"/>
                <w:szCs w:val="1"/>
                <w:color w:val="auto"/>
              </w:rPr>
            </w:pPr>
          </w:p>
        </w:tc>
      </w:tr>
      <w:tr>
        <w:trPr>
          <w:trHeight w:val="282"/>
        </w:trPr>
        <w:tc>
          <w:tcPr>
            <w:tcW w:w="5800" w:type="dxa"/>
            <w:vAlign w:val="bottom"/>
            <w:vMerge w:val="continue"/>
          </w:tcPr>
          <w:p>
            <w:pPr>
              <w:spacing w:after="0"/>
              <w:rPr>
                <w:sz w:val="24"/>
                <w:szCs w:val="24"/>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Security attached hereto</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4.950% SENIOR NOTES DUE 2035</w:t>
      </w:r>
    </w:p>
    <w:p>
      <w:pPr>
        <w:spacing w:after="0" w:line="23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22"/>
          <w:szCs w:val="22"/>
          <w:color w:val="auto"/>
        </w:rPr>
        <w:t>CUSIP 94106L CE7</w:t>
      </w:r>
    </w:p>
    <w:p>
      <w:pPr>
        <w:spacing w:after="0" w:line="233" w:lineRule="exact"/>
        <w:rPr>
          <w:sz w:val="20"/>
          <w:szCs w:val="20"/>
          <w:color w:val="auto"/>
        </w:rPr>
      </w:pPr>
    </w:p>
    <w:p>
      <w:pPr>
        <w:jc w:val="both"/>
        <w:ind w:left="200" w:right="219" w:firstLine="667"/>
        <w:spacing w:after="0" w:line="262" w:lineRule="auto"/>
        <w:rPr>
          <w:sz w:val="20"/>
          <w:szCs w:val="20"/>
          <w:color w:val="auto"/>
        </w:rPr>
      </w:pPr>
      <w:r>
        <w:rPr>
          <w:rFonts w:ascii="Times New Roman" w:cs="Times New Roman" w:eastAsia="Times New Roman" w:hAnsi="Times New Roman"/>
          <w:sz w:val="21"/>
          <w:szCs w:val="21"/>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w:t>
      </w:r>
    </w:p>
    <w:p>
      <w:pPr>
        <w:spacing w:after="0" w:line="3"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principal sum of Million ($ ) U.S. dollars, or such lesser principal sum as is shown on the attached Schedule of Exchanges of Definitive Security, on March 15, 2035 in such coin or currency of the United States of America as at the time of payment shall be legal tender for the payment of public and private debts, and to pay interest at an annual rate of 4.950% payable on March 15 and September 15 of each year, to the person in whose name this Security is registered at the close of business on the record date for such interest, which shall be the preceding March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479425</wp:posOffset>
            </wp:positionV>
            <wp:extent cx="545211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2" w:name="page223"/>
    <w:bookmarkEnd w:id="222"/>
    <w:p>
      <w:pPr>
        <w:jc w:val="both"/>
        <w:ind w:left="200" w:right="219"/>
        <w:spacing w:after="0" w:line="271" w:lineRule="auto"/>
        <w:rPr>
          <w:sz w:val="20"/>
          <w:szCs w:val="20"/>
          <w:color w:val="auto"/>
        </w:rPr>
      </w:pPr>
      <w:r>
        <w:rPr>
          <w:rFonts w:ascii="Times New Roman" w:cs="Times New Roman" w:eastAsia="Times New Roman" w:hAnsi="Times New Roman"/>
          <w:sz w:val="22"/>
          <w:szCs w:val="22"/>
          <w:color w:val="auto"/>
        </w:rPr>
        <w:t>or September 1, respectively, payable commencing March 15, 2025, with interest accruing from November 4, 2024, or the most recent date to which interest has been paid.</w:t>
      </w:r>
    </w:p>
    <w:p>
      <w:pPr>
        <w:spacing w:after="0" w:line="171"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Reference is made to the further provisions of this Security set forth on the reverse hereof. Such further provisions shall for all purposes have the same effect as though fully set forth at this place.</w:t>
      </w:r>
    </w:p>
    <w:p>
      <w:pPr>
        <w:spacing w:after="0" w:line="173"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73"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This Security is issued in respect of a series of Securities of an initial aggregate of U.S. $1,500,000,000 in principal amount designated as the 4.950% Senior Notes due 2035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91"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79" w:lineRule="exact"/>
        <w:rPr>
          <w:sz w:val="20"/>
          <w:szCs w:val="20"/>
          <w:color w:val="auto"/>
        </w:rPr>
      </w:pPr>
    </w:p>
    <w:p>
      <w:pPr>
        <w:jc w:val="both"/>
        <w:ind w:left="200" w:right="239" w:firstLine="667"/>
        <w:spacing w:after="0" w:line="271" w:lineRule="auto"/>
        <w:rPr>
          <w:sz w:val="20"/>
          <w:szCs w:val="20"/>
          <w:color w:val="auto"/>
        </w:rPr>
      </w:pPr>
      <w:r>
        <w:rPr>
          <w:rFonts w:ascii="Times New Roman" w:cs="Times New Roman" w:eastAsia="Times New Roman" w:hAnsi="Times New Roman"/>
          <w:sz w:val="22"/>
          <w:szCs w:val="22"/>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597535</wp:posOffset>
            </wp:positionV>
            <wp:extent cx="545211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3" w:name="page224"/>
    <w:bookmarkEnd w:id="223"/>
    <w:p>
      <w:pPr>
        <w:ind w:left="200" w:right="239" w:firstLine="667"/>
        <w:spacing w:after="0" w:line="271" w:lineRule="auto"/>
        <w:rPr>
          <w:sz w:val="20"/>
          <w:szCs w:val="20"/>
          <w:color w:val="auto"/>
        </w:rPr>
      </w:pPr>
      <w:r>
        <w:rPr>
          <w:rFonts w:ascii="Times New Roman" w:cs="Times New Roman" w:eastAsia="Times New Roman" w:hAnsi="Times New Roman"/>
          <w:sz w:val="22"/>
          <w:szCs w:val="22"/>
          <w:color w:val="auto"/>
        </w:rPr>
        <w:t>This Security shall not be valid or become obligatory for any purpose until the Certificate of Authentication hereon shall have been manually signed by the Trustee under the Indenture.</w:t>
      </w:r>
    </w:p>
    <w:p>
      <w:pPr>
        <w:spacing w:after="0" w:line="171"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instrument to be duly executed under its corporate seal.</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Dated:</w:t>
            </w: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WASTE MANAGEMENT, INC.,</w:t>
            </w:r>
          </w:p>
        </w:tc>
      </w:tr>
      <w:tr>
        <w:trPr>
          <w:trHeight w:val="282"/>
        </w:trPr>
        <w:tc>
          <w:tcPr>
            <w:tcW w:w="2420" w:type="dxa"/>
            <w:vAlign w:val="bottom"/>
          </w:tcPr>
          <w:p>
            <w:pPr>
              <w:spacing w:after="0"/>
              <w:rPr>
                <w:sz w:val="24"/>
                <w:szCs w:val="24"/>
                <w:color w:val="auto"/>
              </w:rPr>
            </w:pP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a Delaware corporation</w:t>
            </w:r>
          </w:p>
        </w:tc>
      </w:tr>
      <w:tr>
        <w:trPr>
          <w:trHeight w:val="461"/>
        </w:trPr>
        <w:tc>
          <w:tcPr>
            <w:tcW w:w="2420" w:type="dxa"/>
            <w:vAlign w:val="bottom"/>
          </w:tcPr>
          <w:p>
            <w:pPr>
              <w:spacing w:after="0"/>
              <w:rPr>
                <w:sz w:val="24"/>
                <w:szCs w:val="24"/>
                <w:color w:val="auto"/>
              </w:rPr>
            </w:pPr>
          </w:p>
        </w:tc>
        <w:tc>
          <w:tcPr>
            <w:tcW w:w="238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By:</w:t>
            </w:r>
          </w:p>
        </w:tc>
        <w:tc>
          <w:tcPr>
            <w:tcW w:w="2480" w:type="dxa"/>
            <w:vAlign w:val="bottom"/>
            <w:tcBorders>
              <w:bottom w:val="single" w:sz="8" w:color="auto"/>
            </w:tcBorders>
            <w:gridSpan w:val="3"/>
          </w:tcPr>
          <w:p>
            <w:pPr>
              <w:spacing w:after="0"/>
              <w:rPr>
                <w:sz w:val="24"/>
                <w:szCs w:val="24"/>
                <w:color w:val="auto"/>
              </w:rPr>
            </w:pPr>
          </w:p>
        </w:tc>
        <w:tc>
          <w:tcPr>
            <w:tcW w:w="940" w:type="dxa"/>
            <w:vAlign w:val="bottom"/>
          </w:tcPr>
          <w:p>
            <w:pPr>
              <w:spacing w:after="0"/>
              <w:rPr>
                <w:sz w:val="24"/>
                <w:szCs w:val="24"/>
                <w:color w:val="auto"/>
              </w:rPr>
            </w:pPr>
          </w:p>
        </w:tc>
      </w:tr>
      <w:tr>
        <w:trPr>
          <w:trHeight w:val="263"/>
        </w:trPr>
        <w:tc>
          <w:tcPr>
            <w:tcW w:w="2420" w:type="dxa"/>
            <w:vAlign w:val="bottom"/>
          </w:tcPr>
          <w:p>
            <w:pPr>
              <w:spacing w:after="0"/>
              <w:rPr>
                <w:sz w:val="22"/>
                <w:szCs w:val="22"/>
                <w:color w:val="auto"/>
              </w:rPr>
            </w:pPr>
          </w:p>
        </w:tc>
        <w:tc>
          <w:tcPr>
            <w:tcW w:w="5800" w:type="dxa"/>
            <w:vAlign w:val="bottom"/>
            <w:gridSpan w:val="5"/>
          </w:tcPr>
          <w:p>
            <w:pPr>
              <w:ind w:left="2380"/>
              <w:spacing w:after="0"/>
              <w:rPr>
                <w:sz w:val="20"/>
                <w:szCs w:val="20"/>
                <w:color w:val="auto"/>
              </w:rPr>
            </w:pPr>
            <w:r>
              <w:rPr>
                <w:rFonts w:ascii="Times New Roman" w:cs="Times New Roman" w:eastAsia="Times New Roman" w:hAnsi="Times New Roman"/>
                <w:sz w:val="22"/>
                <w:szCs w:val="22"/>
                <w:color w:val="auto"/>
              </w:rPr>
              <w:t>Leslie K. Nagy</w:t>
            </w:r>
          </w:p>
        </w:tc>
      </w:tr>
      <w:tr>
        <w:trPr>
          <w:trHeight w:val="282"/>
        </w:trPr>
        <w:tc>
          <w:tcPr>
            <w:tcW w:w="2420" w:type="dxa"/>
            <w:vAlign w:val="bottom"/>
          </w:tcPr>
          <w:p>
            <w:pPr>
              <w:spacing w:after="0"/>
              <w:rPr>
                <w:sz w:val="24"/>
                <w:szCs w:val="24"/>
                <w:color w:val="auto"/>
              </w:rPr>
            </w:pPr>
          </w:p>
        </w:tc>
        <w:tc>
          <w:tcPr>
            <w:tcW w:w="5800" w:type="dxa"/>
            <w:vAlign w:val="bottom"/>
            <w:gridSpan w:val="5"/>
          </w:tcPr>
          <w:p>
            <w:pPr>
              <w:ind w:left="2380"/>
              <w:spacing w:after="0"/>
              <w:rPr>
                <w:sz w:val="20"/>
                <w:szCs w:val="20"/>
                <w:color w:val="auto"/>
              </w:rPr>
            </w:pPr>
            <w:r>
              <w:rPr>
                <w:rFonts w:ascii="Times New Roman" w:cs="Times New Roman" w:eastAsia="Times New Roman" w:hAnsi="Times New Roman"/>
                <w:sz w:val="22"/>
                <w:szCs w:val="22"/>
                <w:color w:val="auto"/>
              </w:rPr>
              <w:t>Vice President and Treasurer</w:t>
            </w:r>
          </w:p>
        </w:tc>
      </w:tr>
      <w:tr>
        <w:trPr>
          <w:trHeight w:val="770"/>
        </w:trPr>
        <w:tc>
          <w:tcPr>
            <w:tcW w:w="2420" w:type="dxa"/>
            <w:vAlign w:val="bottom"/>
          </w:tcPr>
          <w:p>
            <w:pPr>
              <w:spacing w:after="0"/>
              <w:rPr>
                <w:sz w:val="24"/>
                <w:szCs w:val="24"/>
                <w:color w:val="auto"/>
              </w:rPr>
            </w:pP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Attest:</w:t>
            </w:r>
          </w:p>
        </w:tc>
      </w:tr>
      <w:tr>
        <w:trPr>
          <w:trHeight w:val="460"/>
        </w:trPr>
        <w:tc>
          <w:tcPr>
            <w:tcW w:w="2420" w:type="dxa"/>
            <w:vAlign w:val="bottom"/>
          </w:tcPr>
          <w:p>
            <w:pPr>
              <w:spacing w:after="0"/>
              <w:rPr>
                <w:sz w:val="24"/>
                <w:szCs w:val="24"/>
                <w:color w:val="auto"/>
              </w:rPr>
            </w:pPr>
          </w:p>
        </w:tc>
        <w:tc>
          <w:tcPr>
            <w:tcW w:w="2400" w:type="dxa"/>
            <w:vAlign w:val="bottom"/>
            <w:gridSpan w:val="2"/>
          </w:tcPr>
          <w:p>
            <w:pPr>
              <w:ind w:left="1820"/>
              <w:spacing w:after="0"/>
              <w:rPr>
                <w:sz w:val="20"/>
                <w:szCs w:val="20"/>
                <w:color w:val="auto"/>
              </w:rPr>
            </w:pPr>
            <w:r>
              <w:rPr>
                <w:rFonts w:ascii="Times New Roman" w:cs="Times New Roman" w:eastAsia="Times New Roman" w:hAnsi="Times New Roman"/>
                <w:sz w:val="22"/>
                <w:szCs w:val="22"/>
                <w:color w:val="auto"/>
              </w:rPr>
              <w:t>By:</w:t>
            </w:r>
          </w:p>
        </w:tc>
        <w:tc>
          <w:tcPr>
            <w:tcW w:w="2440" w:type="dxa"/>
            <w:vAlign w:val="bottom"/>
            <w:tcBorders>
              <w:bottom w:val="single" w:sz="8" w:color="auto"/>
            </w:tcBorders>
          </w:tcPr>
          <w:p>
            <w:pPr>
              <w:spacing w:after="0"/>
              <w:rPr>
                <w:sz w:val="24"/>
                <w:szCs w:val="24"/>
                <w:color w:val="auto"/>
              </w:rPr>
            </w:pPr>
          </w:p>
        </w:tc>
        <w:tc>
          <w:tcPr>
            <w:tcW w:w="960" w:type="dxa"/>
            <w:vAlign w:val="bottom"/>
            <w:gridSpan w:val="2"/>
          </w:tcPr>
          <w:p>
            <w:pPr>
              <w:spacing w:after="0"/>
              <w:rPr>
                <w:sz w:val="24"/>
                <w:szCs w:val="24"/>
                <w:color w:val="auto"/>
              </w:rPr>
            </w:pPr>
          </w:p>
        </w:tc>
      </w:tr>
      <w:tr>
        <w:trPr>
          <w:trHeight w:val="263"/>
        </w:trPr>
        <w:tc>
          <w:tcPr>
            <w:tcW w:w="2420" w:type="dxa"/>
            <w:vAlign w:val="bottom"/>
          </w:tcPr>
          <w:p>
            <w:pPr>
              <w:spacing w:after="0"/>
              <w:rPr>
                <w:sz w:val="22"/>
                <w:szCs w:val="22"/>
                <w:color w:val="auto"/>
              </w:rPr>
            </w:pPr>
          </w:p>
        </w:tc>
        <w:tc>
          <w:tcPr>
            <w:tcW w:w="5800" w:type="dxa"/>
            <w:vAlign w:val="bottom"/>
            <w:gridSpan w:val="5"/>
          </w:tcPr>
          <w:p>
            <w:pPr>
              <w:ind w:left="2380"/>
              <w:spacing w:after="0"/>
              <w:rPr>
                <w:sz w:val="20"/>
                <w:szCs w:val="20"/>
                <w:color w:val="auto"/>
              </w:rPr>
            </w:pPr>
            <w:r>
              <w:rPr>
                <w:rFonts w:ascii="Times New Roman" w:cs="Times New Roman" w:eastAsia="Times New Roman" w:hAnsi="Times New Roman"/>
                <w:sz w:val="22"/>
                <w:szCs w:val="22"/>
                <w:color w:val="auto"/>
              </w:rPr>
              <w:t>Courtney A. Tippy</w:t>
            </w:r>
          </w:p>
        </w:tc>
      </w:tr>
      <w:tr>
        <w:trPr>
          <w:trHeight w:val="282"/>
        </w:trPr>
        <w:tc>
          <w:tcPr>
            <w:tcW w:w="2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2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7"/>
              </w:rPr>
              <w:t>Vice President and Corporate Secretary</w:t>
            </w:r>
          </w:p>
        </w:tc>
      </w:tr>
    </w:tbl>
    <w:p>
      <w:pPr>
        <w:spacing w:after="0" w:line="3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CERTIFICATE OF AUTHENTICATION</w:t>
      </w:r>
    </w:p>
    <w:p>
      <w:pPr>
        <w:spacing w:after="0" w:line="220"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is one of the Securities of the series designated therein referred to in the within-mentioned Indenture.</w:t>
      </w:r>
    </w:p>
    <w:p>
      <w:pPr>
        <w:spacing w:after="0" w:line="158"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2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Date of Authentication:</w:t>
            </w:r>
          </w:p>
        </w:tc>
        <w:tc>
          <w:tcPr>
            <w:tcW w:w="536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w w:val="99"/>
              </w:rPr>
              <w:t>The Bank of New York Mellon Trust Company,</w:t>
            </w:r>
          </w:p>
        </w:tc>
      </w:tr>
      <w:tr>
        <w:trPr>
          <w:trHeight w:val="282"/>
        </w:trPr>
        <w:tc>
          <w:tcPr>
            <w:tcW w:w="3220" w:type="dxa"/>
            <w:vAlign w:val="bottom"/>
          </w:tcPr>
          <w:p>
            <w:pPr>
              <w:spacing w:after="0"/>
              <w:rPr>
                <w:sz w:val="24"/>
                <w:szCs w:val="24"/>
                <w:color w:val="auto"/>
              </w:rPr>
            </w:pPr>
          </w:p>
        </w:tc>
        <w:tc>
          <w:tcPr>
            <w:tcW w:w="536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rPr>
              <w:t>N.A., as Trustee</w:t>
            </w:r>
          </w:p>
        </w:tc>
      </w:tr>
      <w:tr>
        <w:trPr>
          <w:trHeight w:val="474"/>
        </w:trPr>
        <w:tc>
          <w:tcPr>
            <w:tcW w:w="3220" w:type="dxa"/>
            <w:vAlign w:val="bottom"/>
          </w:tcPr>
          <w:p>
            <w:pPr>
              <w:spacing w:after="0"/>
              <w:rPr>
                <w:sz w:val="24"/>
                <w:szCs w:val="24"/>
                <w:color w:val="auto"/>
              </w:rPr>
            </w:pPr>
          </w:p>
        </w:tc>
        <w:tc>
          <w:tcPr>
            <w:tcW w:w="536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rPr>
              <w:t>By: ​</w:t>
            </w:r>
          </w:p>
        </w:tc>
      </w:tr>
      <w:tr>
        <w:trPr>
          <w:trHeight w:val="289"/>
        </w:trPr>
        <w:tc>
          <w:tcPr>
            <w:tcW w:w="3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5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Authorized Officer</w:t>
            </w:r>
          </w:p>
        </w:tc>
        <w:tc>
          <w:tcPr>
            <w:tcW w:w="320" w:type="dxa"/>
            <w:vAlign w:val="bottom"/>
          </w:tcPr>
          <w:p>
            <w:pPr>
              <w:spacing w:after="0"/>
              <w:rPr>
                <w:sz w:val="24"/>
                <w:szCs w:val="24"/>
                <w:color w:val="auto"/>
              </w:rPr>
            </w:pPr>
          </w:p>
        </w:tc>
      </w:tr>
      <w:tr>
        <w:trPr>
          <w:trHeight w:val="1332"/>
        </w:trPr>
        <w:tc>
          <w:tcPr>
            <w:tcW w:w="3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224" w:name="page225"/>
    <w:bookmarkEnd w:id="224"/>
    <w:p>
      <w:pPr>
        <w:jc w:val="center"/>
        <w:ind w:right="19"/>
        <w:spacing w:after="0"/>
        <w:rPr>
          <w:sz w:val="20"/>
          <w:szCs w:val="20"/>
          <w:color w:val="auto"/>
        </w:rPr>
      </w:pPr>
      <w:r>
        <w:rPr>
          <w:rFonts w:ascii="Times New Roman" w:cs="Times New Roman" w:eastAsia="Times New Roman" w:hAnsi="Times New Roman"/>
          <w:sz w:val="22"/>
          <w:szCs w:val="22"/>
          <w:color w:val="auto"/>
        </w:rPr>
        <w:t>REVERSE OF BOOK-ENTRY SECURITY</w:t>
      </w:r>
    </w:p>
    <w:p>
      <w:pPr>
        <w:spacing w:after="0" w:line="27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WASTE MANAGEMENT, INC.</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4.950% SENIOR NOTES DUE 2035</w:t>
      </w:r>
    </w:p>
    <w:p>
      <w:pPr>
        <w:spacing w:after="0" w:line="274"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4.950% Senior Notes due 2035 of the Company, in initial aggregate principal amount of $1,500,000,000 (the “Securities”).</w:t>
      </w:r>
    </w:p>
    <w:p>
      <w:pPr>
        <w:spacing w:after="0" w:line="181" w:lineRule="exact"/>
        <w:rPr>
          <w:sz w:val="20"/>
          <w:szCs w:val="20"/>
          <w:color w:val="auto"/>
        </w:rPr>
      </w:pPr>
    </w:p>
    <w:p>
      <w:pPr>
        <w:ind w:left="1500" w:hanging="643"/>
        <w:spacing w:after="0"/>
        <w:tabs>
          <w:tab w:leader="none" w:pos="150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Interest.</w:t>
      </w:r>
    </w:p>
    <w:p>
      <w:pPr>
        <w:spacing w:after="0" w:line="224"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The Company promises to pay interest on the principal amount of this Security at the rate of 4.950% per annum.</w:t>
      </w:r>
    </w:p>
    <w:p>
      <w:pPr>
        <w:spacing w:after="0" w:line="171"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The Company will pay interest semi-annually on March 15 and September 15 of each year (each an “Interest Payment Date”), commencing March 15, 2025. Interest on the Securities will accrue from the most recent date to which interest has been paid or, if no interest has been paid on the Securities, from November 4, 2024.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4.950% per annum, in each case to the extent lawful.</w:t>
      </w:r>
    </w:p>
    <w:p>
      <w:pPr>
        <w:spacing w:after="0" w:line="187" w:lineRule="exact"/>
        <w:rPr>
          <w:sz w:val="20"/>
          <w:szCs w:val="20"/>
          <w:color w:val="auto"/>
        </w:rPr>
      </w:pPr>
    </w:p>
    <w:p>
      <w:pPr>
        <w:ind w:left="1500" w:hanging="643"/>
        <w:spacing w:after="0"/>
        <w:tabs>
          <w:tab w:leader="none" w:pos="150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Method of Payment.</w:t>
      </w:r>
    </w:p>
    <w:p>
      <w:pPr>
        <w:spacing w:after="0" w:line="224"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1"/>
          <w:szCs w:val="21"/>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473710</wp:posOffset>
            </wp:positionV>
            <wp:extent cx="545211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5" w:name="page226"/>
    <w:bookmarkEnd w:id="225"/>
    <w:p>
      <w:pPr>
        <w:jc w:val="both"/>
        <w:ind w:left="200" w:right="219"/>
        <w:spacing w:after="0" w:line="250" w:lineRule="auto"/>
        <w:rPr>
          <w:sz w:val="20"/>
          <w:szCs w:val="20"/>
          <w:color w:val="auto"/>
        </w:rPr>
      </w:pPr>
      <w:r>
        <w:rPr>
          <w:rFonts w:ascii="Times New Roman" w:cs="Times New Roman" w:eastAsia="Times New Roman" w:hAnsi="Times New Roman"/>
          <w:sz w:val="22"/>
          <w:szCs w:val="22"/>
          <w:color w:val="auto"/>
        </w:rPr>
        <w:t>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176" w:lineRule="exact"/>
        <w:rPr>
          <w:sz w:val="20"/>
          <w:szCs w:val="20"/>
          <w:color w:val="auto"/>
        </w:rPr>
      </w:pPr>
    </w:p>
    <w:p>
      <w:pPr>
        <w:ind w:left="1500" w:hanging="643"/>
        <w:spacing w:after="0"/>
        <w:tabs>
          <w:tab w:leader="none" w:pos="150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Paying Agent and Registrar.</w:t>
      </w:r>
    </w:p>
    <w:p>
      <w:pPr>
        <w:spacing w:after="0" w:line="224"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5" w:lineRule="exact"/>
        <w:rPr>
          <w:sz w:val="20"/>
          <w:szCs w:val="20"/>
          <w:color w:val="auto"/>
        </w:rPr>
      </w:pPr>
    </w:p>
    <w:p>
      <w:pPr>
        <w:ind w:left="1500" w:hanging="643"/>
        <w:spacing w:after="0"/>
        <w:tabs>
          <w:tab w:leader="none" w:pos="150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Indenture.</w:t>
      </w:r>
    </w:p>
    <w:p>
      <w:pPr>
        <w:spacing w:after="0" w:line="224"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Security is one of a duly authorized issue of Debt Securities of the Company issued and to be issued in one or more series under the Indenture.</w:t>
      </w:r>
    </w:p>
    <w:p>
      <w:pPr>
        <w:spacing w:after="0" w:line="158" w:lineRule="exact"/>
        <w:rPr>
          <w:sz w:val="20"/>
          <w:szCs w:val="20"/>
          <w:color w:val="auto"/>
        </w:rPr>
      </w:pPr>
    </w:p>
    <w:p>
      <w:pPr>
        <w:jc w:val="both"/>
        <w:ind w:left="200" w:right="219" w:firstLine="667"/>
        <w:spacing w:after="0" w:line="245" w:lineRule="auto"/>
        <w:rPr>
          <w:sz w:val="20"/>
          <w:szCs w:val="20"/>
          <w:color w:val="auto"/>
        </w:rPr>
      </w:pPr>
      <w:r>
        <w:rPr>
          <w:rFonts w:ascii="Times New Roman" w:cs="Times New Roman" w:eastAsia="Times New Roman" w:hAnsi="Times New Roman"/>
          <w:sz w:val="22"/>
          <w:szCs w:val="22"/>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August 21, 2023, August 26, 2024 and October 3, 2024 (the “Resolutions”) and the written consent of the Sole Director of Waste Management Holdings, Inc. on October 3, 2024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$1,500,000,000.</w:t>
      </w:r>
    </w:p>
    <w:p>
      <w:pPr>
        <w:spacing w:after="0" w:line="191" w:lineRule="exact"/>
        <w:rPr>
          <w:sz w:val="20"/>
          <w:szCs w:val="20"/>
          <w:color w:val="auto"/>
        </w:rPr>
      </w:pPr>
    </w:p>
    <w:p>
      <w:pPr>
        <w:ind w:left="1500" w:hanging="643"/>
        <w:spacing w:after="0"/>
        <w:tabs>
          <w:tab w:leader="none" w:pos="150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w:t>
      </w:r>
    </w:p>
    <w:p>
      <w:pPr>
        <w:spacing w:after="0" w:line="224"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Prior to the Par Call Date, the Company may redeem the Securities at its option, in whole or in part, at any time and from time to time, at a Redemption Price (expressed as a percentage of principal amount and rounded to three decimal places) equal to the greater of:</w:t>
      </w:r>
    </w:p>
    <w:p>
      <w:pPr>
        <w:spacing w:after="0" w:line="173" w:lineRule="exact"/>
        <w:rPr>
          <w:sz w:val="20"/>
          <w:szCs w:val="20"/>
          <w:color w:val="auto"/>
        </w:rPr>
      </w:pPr>
    </w:p>
    <w:p>
      <w:pPr>
        <w:jc w:val="both"/>
        <w:ind w:left="860" w:right="219" w:firstLine="15"/>
        <w:spacing w:after="0" w:line="253" w:lineRule="auto"/>
        <w:tabs>
          <w:tab w:leader="none" w:pos="1192"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15 basis points, less (b) interest accrued to the Redemption Date, and</w:t>
      </w:r>
    </w:p>
    <w:p>
      <w:pPr>
        <w:spacing w:after="0" w:line="178" w:lineRule="exact"/>
        <w:rPr>
          <w:rFonts w:ascii="Times New Roman" w:cs="Times New Roman" w:eastAsia="Times New Roman" w:hAnsi="Times New Roman"/>
          <w:sz w:val="22"/>
          <w:szCs w:val="22"/>
          <w:color w:val="auto"/>
        </w:rPr>
      </w:pPr>
    </w:p>
    <w:p>
      <w:pPr>
        <w:ind w:left="1180" w:hanging="305"/>
        <w:spacing w:after="0"/>
        <w:tabs>
          <w:tab w:leader="none" w:pos="118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Securities to be redeemed,</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636905</wp:posOffset>
            </wp:positionV>
            <wp:extent cx="545211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6" w:name="page227"/>
    <w:bookmarkEnd w:id="226"/>
    <w:p>
      <w:pPr>
        <w:jc w:val="both"/>
        <w:ind w:left="200" w:right="219" w:firstLine="667"/>
        <w:spacing w:after="0" w:line="256" w:lineRule="auto"/>
        <w:rPr>
          <w:sz w:val="20"/>
          <w:szCs w:val="20"/>
          <w:color w:val="auto"/>
        </w:rPr>
      </w:pPr>
      <w:r>
        <w:rPr>
          <w:rFonts w:ascii="Times New Roman" w:cs="Times New Roman" w:eastAsia="Times New Roman" w:hAnsi="Times New Roman"/>
          <w:sz w:val="22"/>
          <w:szCs w:val="22"/>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“Par Call Date” means December 15, 2034.</w:t>
      </w:r>
    </w:p>
    <w:p>
      <w:pPr>
        <w:spacing w:after="0" w:line="220"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“Treasury Rate” means, with respect to any Redemption Date, the yield determined by the Company in accordance with the following two paragraphs.</w:t>
      </w:r>
    </w:p>
    <w:p>
      <w:pPr>
        <w:spacing w:after="0" w:line="158"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1"/>
          <w:szCs w:val="21"/>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4"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1"/>
          <w:szCs w:val="21"/>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474345</wp:posOffset>
            </wp:positionV>
            <wp:extent cx="545211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7" w:name="page228"/>
    <w:bookmarkEnd w:id="227"/>
    <w:p>
      <w:pPr>
        <w:jc w:val="both"/>
        <w:ind w:left="200" w:right="219"/>
        <w:spacing w:after="0" w:line="263" w:lineRule="auto"/>
        <w:rPr>
          <w:sz w:val="20"/>
          <w:szCs w:val="20"/>
          <w:color w:val="auto"/>
        </w:rPr>
      </w:pPr>
      <w:r>
        <w:rPr>
          <w:rFonts w:ascii="Times New Roman" w:cs="Times New Roman" w:eastAsia="Times New Roman" w:hAnsi="Times New Roman"/>
          <w:sz w:val="22"/>
          <w:szCs w:val="22"/>
          <w:color w:val="auto"/>
        </w:rPr>
        <w:t>security shall be based upon the average of the bid and asked prices (expressed as a percentage of principal amount) at 11:00 a.m., New York City time, of such United States Treasury security, and rounded to three decimal places.</w:t>
      </w:r>
    </w:p>
    <w:p>
      <w:pPr>
        <w:spacing w:after="0" w:line="167" w:lineRule="exact"/>
        <w:rPr>
          <w:sz w:val="20"/>
          <w:szCs w:val="20"/>
          <w:color w:val="auto"/>
        </w:rPr>
      </w:pPr>
    </w:p>
    <w:p>
      <w:pPr>
        <w:jc w:val="both"/>
        <w:ind w:left="200" w:right="219" w:firstLine="667"/>
        <w:spacing w:after="0" w:line="250" w:lineRule="auto"/>
        <w:rPr>
          <w:sz w:val="20"/>
          <w:szCs w:val="20"/>
          <w:color w:val="auto"/>
        </w:rPr>
      </w:pPr>
      <w:r>
        <w:rPr>
          <w:rFonts w:ascii="Times New Roman" w:cs="Times New Roman" w:eastAsia="Times New Roman" w:hAnsi="Times New Roman"/>
          <w:sz w:val="22"/>
          <w:szCs w:val="22"/>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81"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1"/>
          <w:szCs w:val="21"/>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73"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Except as set forth above, the Securities will not be redeemable prior to their Stated Maturity and will not be entitled to the benefit of any sinking fund.</w:t>
      </w:r>
    </w:p>
    <w:p>
      <w:pPr>
        <w:spacing w:after="0" w:line="158"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The Securities may be redeemed in part in a minimum principal amount of $2,000, or any integral multiple of $1,000 in excess thereof.</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Any such redemption will also comply with Article Eleven of the Indenture.</w:t>
      </w:r>
    </w:p>
    <w:p>
      <w:pPr>
        <w:spacing w:after="0" w:line="216" w:lineRule="exact"/>
        <w:rPr>
          <w:sz w:val="20"/>
          <w:szCs w:val="20"/>
          <w:color w:val="auto"/>
        </w:rPr>
      </w:pPr>
    </w:p>
    <w:p>
      <w:pPr>
        <w:ind w:left="1500" w:hanging="643"/>
        <w:spacing w:after="0"/>
        <w:tabs>
          <w:tab w:leader="none" w:pos="150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of Control Offer.</w:t>
      </w:r>
    </w:p>
    <w:p>
      <w:pPr>
        <w:spacing w:after="0" w:line="22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239" w:lineRule="exact"/>
        <w:rPr>
          <w:sz w:val="20"/>
          <w:szCs w:val="20"/>
          <w:color w:val="auto"/>
        </w:rPr>
      </w:pPr>
    </w:p>
    <w:p>
      <w:pPr>
        <w:jc w:val="both"/>
        <w:ind w:left="200" w:right="239" w:firstLine="648"/>
        <w:spacing w:after="0" w:line="271" w:lineRule="auto"/>
        <w:rPr>
          <w:sz w:val="20"/>
          <w:szCs w:val="20"/>
          <w:color w:val="auto"/>
        </w:rPr>
      </w:pPr>
      <w:r>
        <w:rPr>
          <w:rFonts w:ascii="Times New Roman" w:cs="Times New Roman" w:eastAsia="Times New Roman" w:hAnsi="Times New Roman"/>
          <w:sz w:val="22"/>
          <w:szCs w:val="22"/>
          <w:color w:val="auto"/>
        </w:rPr>
        <w:t>Within 30 days following any Change of Control Triggering Event or, at the Company’s option, prior to any Change of Control, but after public announcement of the transaction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8" w:name="page229"/>
    <w:bookmarkEnd w:id="228"/>
    <w:p>
      <w:pPr>
        <w:jc w:val="both"/>
        <w:ind w:left="200" w:right="219"/>
        <w:spacing w:after="0" w:line="249" w:lineRule="auto"/>
        <w:rPr>
          <w:sz w:val="20"/>
          <w:szCs w:val="20"/>
          <w:color w:val="auto"/>
        </w:rPr>
      </w:pPr>
      <w:r>
        <w:rPr>
          <w:rFonts w:ascii="Times New Roman" w:cs="Times New Roman" w:eastAsia="Times New Roman" w:hAnsi="Times New Roman"/>
          <w:sz w:val="22"/>
          <w:szCs w:val="22"/>
          <w:color w:val="auto"/>
        </w:rPr>
        <w:t>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Upon the Change of Control Payment Date, the Company shall, to the extent lawful:</w:t>
      </w:r>
    </w:p>
    <w:p>
      <w:pPr>
        <w:spacing w:after="0" w:line="287" w:lineRule="exact"/>
        <w:rPr>
          <w:sz w:val="20"/>
          <w:szCs w:val="20"/>
          <w:color w:val="auto"/>
        </w:rPr>
      </w:pPr>
    </w:p>
    <w:p>
      <w:pPr>
        <w:ind w:left="1500" w:right="219" w:hanging="643"/>
        <w:spacing w:after="0" w:line="271" w:lineRule="auto"/>
        <w:tabs>
          <w:tab w:leader="none" w:pos="117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accept for payment all Securities or portions of Securities properly tendered and not withdrawn pursuant to the Change of Control Offer;</w:t>
      </w:r>
    </w:p>
    <w:p>
      <w:pPr>
        <w:spacing w:after="0" w:line="157" w:lineRule="exact"/>
        <w:rPr>
          <w:rFonts w:ascii="Times New Roman" w:cs="Times New Roman" w:eastAsia="Times New Roman" w:hAnsi="Times New Roman"/>
          <w:sz w:val="18"/>
          <w:szCs w:val="18"/>
          <w:color w:val="auto"/>
        </w:rPr>
      </w:pPr>
    </w:p>
    <w:p>
      <w:pPr>
        <w:ind w:left="1500" w:right="219" w:hanging="643"/>
        <w:spacing w:after="0" w:line="271" w:lineRule="auto"/>
        <w:tabs>
          <w:tab w:leader="none" w:pos="117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deposit with the Paying Agent an amount equal to the Change of Control Payment in respect of all Securities or portions of Securities properly tendered; and</w:t>
      </w:r>
    </w:p>
    <w:p>
      <w:pPr>
        <w:spacing w:after="0" w:line="157" w:lineRule="exact"/>
        <w:rPr>
          <w:rFonts w:ascii="Times New Roman" w:cs="Times New Roman" w:eastAsia="Times New Roman" w:hAnsi="Times New Roman"/>
          <w:sz w:val="18"/>
          <w:szCs w:val="18"/>
          <w:color w:val="auto"/>
        </w:rPr>
      </w:pPr>
    </w:p>
    <w:p>
      <w:pPr>
        <w:ind w:left="1500" w:right="219" w:hanging="643"/>
        <w:spacing w:after="0" w:line="257" w:lineRule="auto"/>
        <w:tabs>
          <w:tab w:leader="none" w:pos="117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3"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249"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239"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For purposes of the Change of Control Offer provisions of the Securities, the following terms are applicable:</w:t>
      </w:r>
    </w:p>
    <w:p>
      <w:pPr>
        <w:spacing w:after="0" w:line="225" w:lineRule="exact"/>
        <w:rPr>
          <w:sz w:val="20"/>
          <w:szCs w:val="20"/>
          <w:color w:val="auto"/>
        </w:rPr>
      </w:pPr>
    </w:p>
    <w:p>
      <w:pPr>
        <w:jc w:val="both"/>
        <w:ind w:left="200" w:right="219" w:firstLine="667"/>
        <w:spacing w:after="0" w:line="263" w:lineRule="auto"/>
        <w:rPr>
          <w:sz w:val="20"/>
          <w:szCs w:val="20"/>
          <w:color w:val="auto"/>
        </w:rPr>
      </w:pPr>
      <w:r>
        <w:rPr>
          <w:rFonts w:ascii="Times New Roman" w:cs="Times New Roman" w:eastAsia="Times New Roman" w:hAnsi="Times New Roman"/>
          <w:sz w:val="21"/>
          <w:szCs w:val="21"/>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466725</wp:posOffset>
            </wp:positionV>
            <wp:extent cx="5452110"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9" w:name="page230"/>
    <w:bookmarkEnd w:id="229"/>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93"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1" w:lineRule="exact"/>
        <w:rPr>
          <w:sz w:val="20"/>
          <w:szCs w:val="20"/>
          <w:color w:val="auto"/>
        </w:rPr>
      </w:pPr>
    </w:p>
    <w:p>
      <w:pPr>
        <w:jc w:val="both"/>
        <w:ind w:left="200" w:right="239" w:firstLine="667"/>
        <w:spacing w:after="0" w:line="271" w:lineRule="auto"/>
        <w:rPr>
          <w:sz w:val="20"/>
          <w:szCs w:val="20"/>
          <w:color w:val="auto"/>
        </w:rPr>
      </w:pPr>
      <w:r>
        <w:rPr>
          <w:rFonts w:ascii="Times New Roman" w:cs="Times New Roman" w:eastAsia="Times New Roman" w:hAnsi="Times New Roman"/>
          <w:sz w:val="22"/>
          <w:szCs w:val="22"/>
          <w:color w:val="auto"/>
        </w:rPr>
        <w:t>“Change of Control Triggering Event” means the occurrence of both a Change of Control and a Rating Event.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“Fitch” means Fitch Inc. and its successors.</w:t>
      </w:r>
    </w:p>
    <w:p>
      <w:pPr>
        <w:spacing w:after="0" w:line="220"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“Moody’s” means Moody’s Investors Service, Inc. and its successors.</w:t>
      </w:r>
    </w:p>
    <w:p>
      <w:pPr>
        <w:spacing w:after="0" w:line="220" w:lineRule="exact"/>
        <w:rPr>
          <w:sz w:val="20"/>
          <w:szCs w:val="20"/>
          <w:color w:val="auto"/>
        </w:rPr>
      </w:pPr>
    </w:p>
    <w:p>
      <w:pPr>
        <w:jc w:val="both"/>
        <w:ind w:left="200" w:right="219" w:firstLine="667"/>
        <w:spacing w:after="0" w:line="251" w:lineRule="auto"/>
        <w:rPr>
          <w:sz w:val="20"/>
          <w:szCs w:val="20"/>
          <w:color w:val="auto"/>
        </w:rPr>
      </w:pPr>
      <w:r>
        <w:rPr>
          <w:rFonts w:ascii="Times New Roman" w:cs="Times New Roman" w:eastAsia="Times New Roman" w:hAnsi="Times New Roman"/>
          <w:sz w:val="22"/>
          <w:szCs w:val="22"/>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81" w:lineRule="exact"/>
        <w:rPr>
          <w:sz w:val="20"/>
          <w:szCs w:val="20"/>
          <w:color w:val="auto"/>
        </w:rPr>
      </w:pPr>
    </w:p>
    <w:p>
      <w:pPr>
        <w:jc w:val="both"/>
        <w:ind w:left="200" w:right="219" w:firstLine="667"/>
        <w:spacing w:after="0" w:line="268" w:lineRule="auto"/>
        <w:rPr>
          <w:sz w:val="20"/>
          <w:szCs w:val="20"/>
          <w:color w:val="auto"/>
        </w:rPr>
      </w:pPr>
      <w:r>
        <w:rPr>
          <w:rFonts w:ascii="Times New Roman" w:cs="Times New Roman" w:eastAsia="Times New Roman" w:hAnsi="Times New Roman"/>
          <w:sz w:val="21"/>
          <w:szCs w:val="21"/>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464185</wp:posOffset>
            </wp:positionV>
            <wp:extent cx="545211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0" w:name="page231"/>
    <w:bookmarkEnd w:id="230"/>
    <w:p>
      <w:pPr>
        <w:jc w:val="both"/>
        <w:ind w:left="200" w:right="219"/>
        <w:spacing w:after="0" w:line="263" w:lineRule="auto"/>
        <w:rPr>
          <w:sz w:val="20"/>
          <w:szCs w:val="20"/>
          <w:color w:val="auto"/>
        </w:rPr>
      </w:pPr>
      <w:r>
        <w:rPr>
          <w:rFonts w:ascii="Times New Roman" w:cs="Times New Roman" w:eastAsia="Times New Roman" w:hAnsi="Times New Roman"/>
          <w:sz w:val="22"/>
          <w:szCs w:val="22"/>
          <w:color w:val="auto"/>
        </w:rPr>
        <w:t>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“S&amp;P” means S&amp;P Global Ratings, a division of S&amp;P Global Inc., and its successors.</w:t>
      </w:r>
    </w:p>
    <w:p>
      <w:pPr>
        <w:spacing w:after="0" w:line="220"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9" w:lineRule="exact"/>
        <w:rPr>
          <w:sz w:val="20"/>
          <w:szCs w:val="20"/>
          <w:color w:val="auto"/>
        </w:rPr>
      </w:pPr>
    </w:p>
    <w:p>
      <w:pPr>
        <w:ind w:left="1500" w:hanging="643"/>
        <w:spacing w:after="0"/>
        <w:tabs>
          <w:tab w:leader="none" w:pos="150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Denominations; Transfer; Exchange.</w:t>
      </w:r>
    </w:p>
    <w:p>
      <w:pPr>
        <w:spacing w:after="0" w:line="224" w:lineRule="exact"/>
        <w:rPr>
          <w:sz w:val="20"/>
          <w:szCs w:val="20"/>
          <w:color w:val="auto"/>
        </w:rPr>
      </w:pPr>
    </w:p>
    <w:p>
      <w:pPr>
        <w:jc w:val="both"/>
        <w:ind w:left="200" w:right="219" w:firstLine="667"/>
        <w:spacing w:after="0" w:line="250" w:lineRule="auto"/>
        <w:rPr>
          <w:sz w:val="20"/>
          <w:szCs w:val="20"/>
          <w:color w:val="auto"/>
        </w:rPr>
      </w:pPr>
      <w:r>
        <w:rPr>
          <w:rFonts w:ascii="Times New Roman" w:cs="Times New Roman" w:eastAsia="Times New Roman" w:hAnsi="Times New Roman"/>
          <w:sz w:val="22"/>
          <w:szCs w:val="22"/>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77" w:lineRule="exact"/>
        <w:rPr>
          <w:sz w:val="20"/>
          <w:szCs w:val="20"/>
          <w:color w:val="auto"/>
        </w:rPr>
      </w:pPr>
    </w:p>
    <w:p>
      <w:pPr>
        <w:ind w:left="1500" w:hanging="643"/>
        <w:spacing w:after="0"/>
        <w:tabs>
          <w:tab w:leader="none" w:pos="150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Person Deemed Owners.</w:t>
      </w:r>
    </w:p>
    <w:p>
      <w:pPr>
        <w:spacing w:after="0" w:line="2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registered Holder of a Security may be treated as the owner of it for all purposes.</w:t>
      </w:r>
    </w:p>
    <w:p>
      <w:pPr>
        <w:spacing w:after="0" w:line="216" w:lineRule="exact"/>
        <w:rPr>
          <w:sz w:val="20"/>
          <w:szCs w:val="20"/>
          <w:color w:val="auto"/>
        </w:rPr>
      </w:pPr>
    </w:p>
    <w:p>
      <w:pPr>
        <w:ind w:left="1500" w:hanging="643"/>
        <w:spacing w:after="0"/>
        <w:tabs>
          <w:tab w:leader="none" w:pos="150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 Supplement; Waiver.</w:t>
      </w:r>
    </w:p>
    <w:p>
      <w:pPr>
        <w:spacing w:after="0" w:line="224"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1" w:lineRule="exact"/>
        <w:rPr>
          <w:sz w:val="20"/>
          <w:szCs w:val="20"/>
          <w:color w:val="auto"/>
        </w:rPr>
      </w:pPr>
    </w:p>
    <w:p>
      <w:pPr>
        <w:ind w:left="1500" w:hanging="643"/>
        <w:spacing w:after="0"/>
        <w:tabs>
          <w:tab w:leader="none" w:pos="150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Defaults and Remedies.</w:t>
      </w:r>
    </w:p>
    <w:p>
      <w:pPr>
        <w:spacing w:after="0" w:line="224" w:lineRule="exact"/>
        <w:rPr>
          <w:sz w:val="20"/>
          <w:szCs w:val="20"/>
          <w:color w:val="auto"/>
        </w:rPr>
      </w:pPr>
    </w:p>
    <w:p>
      <w:pPr>
        <w:jc w:val="both"/>
        <w:ind w:left="200" w:right="219" w:firstLine="667"/>
        <w:spacing w:after="0" w:line="260" w:lineRule="auto"/>
        <w:rPr>
          <w:sz w:val="20"/>
          <w:szCs w:val="20"/>
          <w:color w:val="auto"/>
        </w:rPr>
      </w:pPr>
      <w:r>
        <w:rPr>
          <w:rFonts w:ascii="Times New Roman" w:cs="Times New Roman" w:eastAsia="Times New Roman" w:hAnsi="Times New Roman"/>
          <w:sz w:val="21"/>
          <w:szCs w:val="21"/>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473710</wp:posOffset>
            </wp:positionV>
            <wp:extent cx="545211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1" w:name="page232"/>
    <w:bookmarkEnd w:id="231"/>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189" w:lineRule="exact"/>
        <w:rPr>
          <w:sz w:val="20"/>
          <w:szCs w:val="20"/>
          <w:color w:val="auto"/>
        </w:rPr>
      </w:pPr>
    </w:p>
    <w:p>
      <w:pPr>
        <w:ind w:left="1500" w:hanging="643"/>
        <w:spacing w:after="0"/>
        <w:tabs>
          <w:tab w:leader="none" w:pos="150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Trustee Dealings with Company.</w:t>
      </w:r>
    </w:p>
    <w:p>
      <w:pPr>
        <w:spacing w:after="0" w:line="224"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75" w:lineRule="exact"/>
        <w:rPr>
          <w:sz w:val="20"/>
          <w:szCs w:val="20"/>
          <w:color w:val="auto"/>
        </w:rPr>
      </w:pPr>
    </w:p>
    <w:p>
      <w:pPr>
        <w:ind w:left="1500" w:hanging="643"/>
        <w:spacing w:after="0"/>
        <w:tabs>
          <w:tab w:leader="none" w:pos="150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Authentication.</w:t>
      </w:r>
    </w:p>
    <w:p>
      <w:pPr>
        <w:spacing w:after="0" w:line="224"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Security shall not be valid until the Trustee or authenticating agent signs the certificate of authentication on the other side of this Security.</w:t>
      </w:r>
    </w:p>
    <w:p>
      <w:pPr>
        <w:spacing w:after="0" w:line="154" w:lineRule="exact"/>
        <w:rPr>
          <w:sz w:val="20"/>
          <w:szCs w:val="20"/>
          <w:color w:val="auto"/>
        </w:rPr>
      </w:pPr>
    </w:p>
    <w:p>
      <w:pPr>
        <w:ind w:left="1500" w:hanging="643"/>
        <w:spacing w:after="0"/>
        <w:tabs>
          <w:tab w:leader="none" w:pos="150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Abbreviations and Defined Terms.</w:t>
      </w:r>
    </w:p>
    <w:p>
      <w:pPr>
        <w:spacing w:after="0" w:line="224"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5" w:lineRule="exact"/>
        <w:rPr>
          <w:sz w:val="20"/>
          <w:szCs w:val="20"/>
          <w:color w:val="auto"/>
        </w:rPr>
      </w:pPr>
    </w:p>
    <w:p>
      <w:pPr>
        <w:ind w:left="1500" w:hanging="643"/>
        <w:spacing w:after="0"/>
        <w:tabs>
          <w:tab w:leader="none" w:pos="150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CUSIP Numbers.</w:t>
      </w:r>
    </w:p>
    <w:p>
      <w:pPr>
        <w:spacing w:after="0" w:line="224" w:lineRule="exact"/>
        <w:rPr>
          <w:sz w:val="20"/>
          <w:szCs w:val="20"/>
          <w:color w:val="auto"/>
        </w:rPr>
      </w:pPr>
    </w:p>
    <w:p>
      <w:pPr>
        <w:jc w:val="both"/>
        <w:ind w:left="200" w:right="219" w:firstLine="667"/>
        <w:spacing w:after="0" w:line="250" w:lineRule="auto"/>
        <w:rPr>
          <w:sz w:val="20"/>
          <w:szCs w:val="20"/>
          <w:color w:val="auto"/>
        </w:rPr>
      </w:pPr>
      <w:r>
        <w:rPr>
          <w:rFonts w:ascii="Times New Roman" w:cs="Times New Roman" w:eastAsia="Times New Roman" w:hAnsi="Times New Roman"/>
          <w:sz w:val="22"/>
          <w:szCs w:val="22"/>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7" w:lineRule="exact"/>
        <w:rPr>
          <w:sz w:val="20"/>
          <w:szCs w:val="20"/>
          <w:color w:val="auto"/>
        </w:rPr>
      </w:pPr>
    </w:p>
    <w:p>
      <w:pPr>
        <w:ind w:left="1500" w:hanging="643"/>
        <w:spacing w:after="0"/>
        <w:tabs>
          <w:tab w:leader="none" w:pos="150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Absolute Obligation.</w:t>
      </w:r>
    </w:p>
    <w:p>
      <w:pPr>
        <w:spacing w:after="0" w:line="224" w:lineRule="exact"/>
        <w:rPr>
          <w:sz w:val="20"/>
          <w:szCs w:val="20"/>
          <w:color w:val="auto"/>
        </w:rPr>
      </w:pPr>
    </w:p>
    <w:p>
      <w:pPr>
        <w:jc w:val="both"/>
        <w:ind w:left="200" w:right="219" w:firstLine="667"/>
        <w:spacing w:after="0" w:line="256" w:lineRule="auto"/>
        <w:rPr>
          <w:sz w:val="20"/>
          <w:szCs w:val="20"/>
          <w:color w:val="auto"/>
        </w:rPr>
      </w:pPr>
      <w:r>
        <w:rPr>
          <w:rFonts w:ascii="Times New Roman" w:cs="Times New Roman" w:eastAsia="Times New Roman" w:hAnsi="Times New Roman"/>
          <w:sz w:val="22"/>
          <w:szCs w:val="22"/>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609600</wp:posOffset>
            </wp:positionV>
            <wp:extent cx="545211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2" w:name="page233"/>
    <w:bookmarkEnd w:id="232"/>
    <w:p>
      <w:pPr>
        <w:ind w:left="1500" w:hanging="643"/>
        <w:spacing w:after="0"/>
        <w:tabs>
          <w:tab w:leader="none" w:pos="150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Recourse.</w:t>
      </w:r>
    </w:p>
    <w:p>
      <w:pPr>
        <w:spacing w:after="0" w:line="224" w:lineRule="exact"/>
        <w:rPr>
          <w:sz w:val="20"/>
          <w:szCs w:val="20"/>
          <w:color w:val="auto"/>
        </w:rPr>
      </w:pPr>
    </w:p>
    <w:p>
      <w:pPr>
        <w:jc w:val="both"/>
        <w:ind w:left="200" w:right="219" w:firstLine="667"/>
        <w:spacing w:after="0" w:line="249" w:lineRule="auto"/>
        <w:rPr>
          <w:sz w:val="20"/>
          <w:szCs w:val="20"/>
          <w:color w:val="auto"/>
        </w:rPr>
      </w:pPr>
      <w:r>
        <w:rPr>
          <w:rFonts w:ascii="Times New Roman" w:cs="Times New Roman" w:eastAsia="Times New Roman" w:hAnsi="Times New Roman"/>
          <w:sz w:val="22"/>
          <w:szCs w:val="22"/>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78" w:lineRule="exact"/>
        <w:rPr>
          <w:sz w:val="20"/>
          <w:szCs w:val="20"/>
          <w:color w:val="auto"/>
        </w:rPr>
      </w:pPr>
    </w:p>
    <w:p>
      <w:pPr>
        <w:ind w:left="1500" w:hanging="643"/>
        <w:spacing w:after="0"/>
        <w:tabs>
          <w:tab w:leader="none" w:pos="150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w:t>
      </w:r>
    </w:p>
    <w:p>
      <w:pPr>
        <w:spacing w:after="0" w:line="224"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Security shall be construed in accordance with and governed by the laws of the State of New York.</w:t>
      </w:r>
    </w:p>
    <w:p>
      <w:pPr>
        <w:spacing w:after="0" w:line="154" w:lineRule="exact"/>
        <w:rPr>
          <w:sz w:val="20"/>
          <w:szCs w:val="20"/>
          <w:color w:val="auto"/>
        </w:rPr>
      </w:pPr>
    </w:p>
    <w:p>
      <w:pPr>
        <w:ind w:left="1500" w:hanging="643"/>
        <w:spacing w:after="0"/>
        <w:tabs>
          <w:tab w:leader="none" w:pos="150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Guarantee.</w:t>
      </w:r>
    </w:p>
    <w:p>
      <w:pPr>
        <w:spacing w:after="0" w:line="224" w:lineRule="exact"/>
        <w:rPr>
          <w:sz w:val="20"/>
          <w:szCs w:val="20"/>
          <w:color w:val="auto"/>
        </w:rPr>
      </w:pPr>
    </w:p>
    <w:p>
      <w:pPr>
        <w:jc w:val="both"/>
        <w:ind w:left="200" w:right="219" w:firstLine="667"/>
        <w:spacing w:after="0" w:line="248" w:lineRule="auto"/>
        <w:rPr>
          <w:sz w:val="20"/>
          <w:szCs w:val="20"/>
          <w:color w:val="auto"/>
        </w:rPr>
      </w:pPr>
      <w:r>
        <w:rPr>
          <w:rFonts w:ascii="Times New Roman" w:cs="Times New Roman" w:eastAsia="Times New Roman" w:hAnsi="Times New Roman"/>
          <w:sz w:val="22"/>
          <w:szCs w:val="22"/>
          <w:color w:val="auto"/>
        </w:rPr>
        <w:t>The Securities will be fully and unconditionally guaranteed on a senior basis by the Company’s wholly owned subsidiary, Waste Management Holdings, Inc., pursuant to the terms and conditions of a Guarantee, dated as of November 4,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8" w:lineRule="exact"/>
        <w:rPr>
          <w:sz w:val="20"/>
          <w:szCs w:val="20"/>
          <w:color w:val="auto"/>
        </w:rPr>
      </w:pPr>
    </w:p>
    <w:p>
      <w:pPr>
        <w:ind w:left="1500" w:hanging="625"/>
        <w:spacing w:after="0"/>
        <w:tabs>
          <w:tab w:leader="none" w:pos="150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Satisfaction and Discharge.</w:t>
      </w:r>
    </w:p>
    <w:p>
      <w:pPr>
        <w:spacing w:after="0" w:line="224"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The Securities will be subject to Section 401 of the Indenture; provided, however, that solely with respect to the Securities, Section 401(1)(B) of the Indenture shall be deleted in its entirety and replaced with the following:</w:t>
      </w:r>
    </w:p>
    <w:p>
      <w:pPr>
        <w:spacing w:after="0" w:line="173" w:lineRule="exact"/>
        <w:rPr>
          <w:sz w:val="20"/>
          <w:szCs w:val="20"/>
          <w:color w:val="auto"/>
        </w:rPr>
      </w:pPr>
    </w:p>
    <w:p>
      <w:pPr>
        <w:ind w:left="860" w:right="239" w:firstLine="19"/>
        <w:spacing w:after="0" w:line="271" w:lineRule="auto"/>
        <w:rPr>
          <w:sz w:val="20"/>
          <w:szCs w:val="20"/>
          <w:color w:val="auto"/>
        </w:rPr>
      </w:pPr>
      <w:r>
        <w:rPr>
          <w:rFonts w:ascii="Times New Roman" w:cs="Times New Roman" w:eastAsia="Times New Roman" w:hAnsi="Times New Roman"/>
          <w:sz w:val="22"/>
          <w:szCs w:val="22"/>
          <w:color w:val="auto"/>
        </w:rPr>
        <w:t>“(B) all such Securities and, in the case of (i) or (ii) below, any coupons appertaining thereto not theretofore delivered to the Trustee for cancellation</w:t>
      </w:r>
    </w:p>
    <w:p>
      <w:pPr>
        <w:spacing w:after="0" w:line="158" w:lineRule="exact"/>
        <w:rPr>
          <w:sz w:val="20"/>
          <w:szCs w:val="20"/>
          <w:color w:val="auto"/>
        </w:rPr>
      </w:pPr>
    </w:p>
    <w:p>
      <w:pPr>
        <w:ind w:left="2800" w:hanging="647"/>
        <w:spacing w:after="0"/>
        <w:tabs>
          <w:tab w:leader="none" w:pos="280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become due and payable, or</w:t>
      </w:r>
    </w:p>
    <w:p>
      <w:pPr>
        <w:spacing w:after="0" w:line="219" w:lineRule="exact"/>
        <w:rPr>
          <w:rFonts w:ascii="Times New Roman" w:cs="Times New Roman" w:eastAsia="Times New Roman" w:hAnsi="Times New Roman"/>
          <w:sz w:val="22"/>
          <w:szCs w:val="22"/>
          <w:color w:val="auto"/>
        </w:rPr>
      </w:pPr>
    </w:p>
    <w:p>
      <w:pPr>
        <w:ind w:left="4740" w:hanging="643"/>
        <w:spacing w:after="0"/>
        <w:tabs>
          <w:tab w:leader="none" w:pos="4740"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become due and payable at their Stated</w:t>
      </w:r>
    </w:p>
    <w:p>
      <w:pPr>
        <w:spacing w:after="0" w:line="27" w:lineRule="exact"/>
        <w:rPr>
          <w:rFonts w:ascii="Times New Roman" w:cs="Times New Roman" w:eastAsia="Times New Roman" w:hAnsi="Times New Roman"/>
          <w:sz w:val="22"/>
          <w:szCs w:val="22"/>
          <w:color w:val="auto"/>
        </w:rPr>
      </w:pPr>
    </w:p>
    <w:p>
      <w:pPr>
        <w:ind w:left="2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Maturity within one year, or</w:t>
      </w:r>
    </w:p>
    <w:p>
      <w:pPr>
        <w:spacing w:after="0" w:line="195" w:lineRule="exact"/>
        <w:rPr>
          <w:rFonts w:ascii="Times New Roman" w:cs="Times New Roman" w:eastAsia="Times New Roman" w:hAnsi="Times New Roman"/>
          <w:sz w:val="22"/>
          <w:szCs w:val="22"/>
          <w:color w:val="auto"/>
        </w:rPr>
      </w:pPr>
    </w:p>
    <w:p>
      <w:pPr>
        <w:jc w:val="both"/>
        <w:ind w:left="2160" w:right="219" w:firstLine="1937"/>
        <w:spacing w:after="0" w:line="275" w:lineRule="auto"/>
        <w:tabs>
          <w:tab w:leader="none" w:pos="4752" w:val="left"/>
        </w:tabs>
        <w:numPr>
          <w:ilvl w:val="1"/>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are to be called for redemption within one year under arrangements satisfactory to the Trustee for the giving of notice of redemption by the Trustee in the name, and at the expense, of the Company;</w:t>
      </w:r>
    </w:p>
    <w:p>
      <w:pPr>
        <w:spacing w:after="0" w:line="155" w:lineRule="exact"/>
        <w:rPr>
          <w:sz w:val="20"/>
          <w:szCs w:val="20"/>
          <w:color w:val="auto"/>
        </w:rPr>
      </w:pPr>
    </w:p>
    <w:p>
      <w:pPr>
        <w:jc w:val="both"/>
        <w:ind w:left="200" w:right="219" w:firstLine="667"/>
        <w:spacing w:after="0" w:line="263" w:lineRule="auto"/>
        <w:rPr>
          <w:sz w:val="20"/>
          <w:szCs w:val="20"/>
          <w:color w:val="auto"/>
        </w:rPr>
      </w:pPr>
      <w:r>
        <w:rPr>
          <w:rFonts w:ascii="Times New Roman" w:cs="Times New Roman" w:eastAsia="Times New Roman" w:hAnsi="Times New Roman"/>
          <w:sz w:val="22"/>
          <w:szCs w:val="22"/>
          <w:color w:val="auto"/>
        </w:rPr>
        <w:t>and the Company, in the case of (i), (ii) or (iii) above, has deposited or caused to be deposited with the Trustee as trust funds, U.S. legal tender, U.S. Governmental Obligations or a combination thereof, an amount sufficient to pay and discharge the entire indebtedness on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466725</wp:posOffset>
            </wp:positionV>
            <wp:extent cx="545211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33" w:name="page234"/>
    <w:bookmarkEnd w:id="233"/>
    <w:p>
      <w:pPr>
        <w:jc w:val="both"/>
        <w:ind w:left="200" w:right="219"/>
        <w:spacing w:after="0" w:line="260" w:lineRule="auto"/>
        <w:rPr>
          <w:sz w:val="20"/>
          <w:szCs w:val="20"/>
          <w:color w:val="auto"/>
        </w:rPr>
      </w:pPr>
      <w:r>
        <w:rPr>
          <w:rFonts w:ascii="Times New Roman" w:cs="Times New Roman" w:eastAsia="Times New Roman" w:hAnsi="Times New Roman"/>
          <w:sz w:val="21"/>
          <w:szCs w:val="21"/>
          <w:color w:val="auto"/>
        </w:rPr>
        <w:t>Securities and coupons not theretofore delivered to the Trustee for cancellation, for principal (and premium, if any) and any interest to the date of such deposit (in the case of Securities which have become due and payable) or to the Stated Maturity or Redemption Date, as the case may be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 For purposes of this section, “U.S. Governmental Obligations” means direct non-callable obligations of, or guaranteed by, the United States of America for the payment of which guarantee or obligations the full faith and credit of the United States is pledged.”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1236345</wp:posOffset>
            </wp:positionV>
            <wp:extent cx="545211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4" w:name="page235"/>
    <w:bookmarkEnd w:id="234"/>
    <w:p>
      <w:pPr>
        <w:jc w:val="center"/>
        <w:ind w:right="19"/>
        <w:spacing w:after="0"/>
        <w:rPr>
          <w:sz w:val="20"/>
          <w:szCs w:val="20"/>
          <w:color w:val="auto"/>
        </w:rPr>
      </w:pPr>
      <w:r>
        <w:rPr>
          <w:rFonts w:ascii="Times New Roman" w:cs="Times New Roman" w:eastAsia="Times New Roman" w:hAnsi="Times New Roman"/>
          <w:sz w:val="22"/>
          <w:szCs w:val="22"/>
          <w:color w:val="auto"/>
        </w:rPr>
        <w:t>SCHEDULE OF EXCHANGES OF DEFINITIVE SECURITY</w:t>
      </w:r>
    </w:p>
    <w:p>
      <w:pPr>
        <w:spacing w:after="0" w:line="220" w:lineRule="exact"/>
        <w:rPr>
          <w:sz w:val="20"/>
          <w:szCs w:val="20"/>
          <w:color w:val="auto"/>
        </w:rPr>
      </w:pPr>
    </w:p>
    <w:p>
      <w:pPr>
        <w:ind w:left="200" w:right="219" w:firstLine="667"/>
        <w:spacing w:after="0" w:line="284" w:lineRule="auto"/>
        <w:rPr>
          <w:sz w:val="20"/>
          <w:szCs w:val="20"/>
          <w:color w:val="auto"/>
        </w:rPr>
      </w:pPr>
      <w:r>
        <w:rPr>
          <w:rFonts w:ascii="Times New Roman" w:cs="Times New Roman" w:eastAsia="Times New Roman" w:hAnsi="Times New Roman"/>
          <w:sz w:val="22"/>
          <w:szCs w:val="22"/>
          <w:color w:val="auto"/>
        </w:rPr>
        <w:t>The following exchanges of a part of this Book-Entry Security for definitive Securities have been made:</w:t>
      </w:r>
    </w:p>
    <w:p>
      <w:pPr>
        <w:spacing w:after="0" w:line="200" w:lineRule="exact"/>
        <w:rPr>
          <w:sz w:val="20"/>
          <w:szCs w:val="20"/>
          <w:color w:val="auto"/>
        </w:rPr>
      </w:pPr>
    </w:p>
    <w:p>
      <w:pPr>
        <w:spacing w:after="0" w:line="36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decrease</w:t>
            </w:r>
          </w:p>
        </w:tc>
        <w:tc>
          <w:tcPr>
            <w:tcW w:w="1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increase</w:t>
            </w:r>
          </w:p>
        </w:tc>
        <w:tc>
          <w:tcPr>
            <w:tcW w:w="1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this Book-Entry</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this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 this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following</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 officer</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Book-Entry</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Book-Entry</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such decrease (or</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Trustee or</w:t>
            </w:r>
          </w:p>
        </w:tc>
        <w:tc>
          <w:tcPr>
            <w:tcW w:w="60" w:type="dxa"/>
            <w:vAlign w:val="bottom"/>
          </w:tcPr>
          <w:p>
            <w:pPr>
              <w:spacing w:after="0"/>
              <w:rPr>
                <w:sz w:val="18"/>
                <w:szCs w:val="18"/>
                <w:color w:val="auto"/>
              </w:rPr>
            </w:pPr>
          </w:p>
        </w:tc>
      </w:tr>
      <w:tr>
        <w:trPr>
          <w:trHeight w:val="259"/>
        </w:trPr>
        <w:tc>
          <w:tcPr>
            <w:tcW w:w="80" w:type="dxa"/>
            <w:vAlign w:val="bottom"/>
          </w:tcPr>
          <w:p>
            <w:pPr>
              <w:spacing w:after="0"/>
              <w:rPr>
                <w:sz w:val="22"/>
                <w:szCs w:val="22"/>
                <w:color w:val="auto"/>
              </w:rPr>
            </w:pPr>
          </w:p>
        </w:tc>
        <w:tc>
          <w:tcPr>
            <w:tcW w:w="1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18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80" w:type="dxa"/>
            <w:vAlign w:val="bottom"/>
          </w:tcPr>
          <w:p>
            <w:pPr>
              <w:spacing w:after="0"/>
              <w:rPr>
                <w:sz w:val="22"/>
                <w:szCs w:val="22"/>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Custodian</w:t>
            </w:r>
          </w:p>
        </w:tc>
        <w:tc>
          <w:tcPr>
            <w:tcW w:w="60" w:type="dxa"/>
            <w:vAlign w:val="bottom"/>
            <w:tcBorders>
              <w:bottom w:val="single" w:sz="8" w:color="auto"/>
            </w:tcBorders>
          </w:tcPr>
          <w:p>
            <w:pPr>
              <w:spacing w:after="0"/>
              <w:rPr>
                <w:sz w:val="22"/>
                <w:szCs w:val="22"/>
                <w:color w:val="auto"/>
              </w:rPr>
            </w:pPr>
          </w:p>
        </w:tc>
      </w:tr>
      <w:tr>
        <w:trPr>
          <w:trHeight w:val="1775"/>
        </w:trPr>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235" w:name="page236"/>
    <w:bookmarkEnd w:id="235"/>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4.12</w:t>
      </w:r>
    </w:p>
    <w:p>
      <w:pPr>
        <w:spacing w:after="0" w:line="395" w:lineRule="exact"/>
        <w:rPr>
          <w:sz w:val="20"/>
          <w:szCs w:val="20"/>
          <w:color w:val="auto"/>
        </w:rPr>
      </w:pPr>
    </w:p>
    <w:p>
      <w:pPr>
        <w:jc w:val="center"/>
        <w:ind w:left="200" w:right="219"/>
        <w:spacing w:after="0" w:line="259" w:lineRule="auto"/>
        <w:rPr>
          <w:sz w:val="20"/>
          <w:szCs w:val="20"/>
          <w:color w:val="auto"/>
        </w:rPr>
      </w:pPr>
      <w:r>
        <w:rPr>
          <w:rFonts w:ascii="Times New Roman" w:cs="Times New Roman" w:eastAsia="Times New Roman" w:hAnsi="Times New Roman"/>
          <w:sz w:val="22"/>
          <w:szCs w:val="22"/>
          <w:b w:val="1"/>
          <w:bCs w:val="1"/>
          <w:color w:val="auto"/>
        </w:rPr>
        <w:t>WASTE MANAGEMENT, INC. Officers’ Certificate Delivered Pursuant to Section 301 of the Indenture dated as of September 10, 1997</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November 4, 2024</w:t>
      </w: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The undersigned, the Vice President and Treasurer, and the Vice President and</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Corporate Secretary of Waste Management, Inc. (the “Company”), hereby certify that:</w:t>
      </w:r>
    </w:p>
    <w:p>
      <w:pPr>
        <w:spacing w:after="0" w:line="196" w:lineRule="exact"/>
        <w:rPr>
          <w:sz w:val="20"/>
          <w:szCs w:val="20"/>
          <w:color w:val="auto"/>
        </w:rPr>
      </w:pPr>
    </w:p>
    <w:p>
      <w:pPr>
        <w:jc w:val="both"/>
        <w:ind w:left="200" w:right="219" w:firstLine="1305"/>
        <w:spacing w:after="0" w:line="248" w:lineRule="auto"/>
        <w:tabs>
          <w:tab w:leader="none" w:pos="214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November 4, 2024 (the “Order”) for the authentication and delivery by the Trustee of $1,250,000,000 aggregate principal amount of 5.350% Senior Notes due 2054 (the “Notes”).</w:t>
      </w:r>
    </w:p>
    <w:p>
      <w:pPr>
        <w:spacing w:after="0" w:line="181" w:lineRule="exact"/>
        <w:rPr>
          <w:rFonts w:ascii="Times New Roman" w:cs="Times New Roman" w:eastAsia="Times New Roman" w:hAnsi="Times New Roman"/>
          <w:sz w:val="22"/>
          <w:szCs w:val="22"/>
          <w:color w:val="auto"/>
        </w:rPr>
      </w:pPr>
    </w:p>
    <w:p>
      <w:pPr>
        <w:ind w:left="200" w:right="219" w:firstLine="1305"/>
        <w:spacing w:after="0" w:line="271" w:lineRule="auto"/>
        <w:tabs>
          <w:tab w:leader="none" w:pos="214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have read Sections 102, 103, 301 and 303 of the Indenture and the definitions in the Indenture relating thereto.</w:t>
      </w:r>
    </w:p>
    <w:p>
      <w:pPr>
        <w:spacing w:after="0" w:line="157" w:lineRule="exact"/>
        <w:rPr>
          <w:rFonts w:ascii="Times New Roman" w:cs="Times New Roman" w:eastAsia="Times New Roman" w:hAnsi="Times New Roman"/>
          <w:sz w:val="22"/>
          <w:szCs w:val="22"/>
          <w:color w:val="auto"/>
        </w:rPr>
      </w:pPr>
    </w:p>
    <w:p>
      <w:pPr>
        <w:jc w:val="both"/>
        <w:ind w:left="200" w:right="239" w:firstLine="1305"/>
        <w:spacing w:after="0" w:line="256" w:lineRule="auto"/>
        <w:tabs>
          <w:tab w:leader="none" w:pos="214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76" w:lineRule="exact"/>
        <w:rPr>
          <w:rFonts w:ascii="Times New Roman" w:cs="Times New Roman" w:eastAsia="Times New Roman" w:hAnsi="Times New Roman"/>
          <w:sz w:val="22"/>
          <w:szCs w:val="22"/>
          <w:color w:val="auto"/>
        </w:rPr>
      </w:pPr>
    </w:p>
    <w:p>
      <w:pPr>
        <w:ind w:left="200" w:right="239" w:firstLine="1305"/>
        <w:spacing w:after="0" w:line="271" w:lineRule="auto"/>
        <w:tabs>
          <w:tab w:leader="none" w:pos="214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have examined the Order, and they have read the covenants, conditions and provisions of the Indenture relating thereto.</w:t>
      </w:r>
    </w:p>
    <w:p>
      <w:pPr>
        <w:spacing w:after="0" w:line="157"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covenants and conditions (including all conditions precedent) provided in the Indenture to the authentication and delivery by the Trustee of $1,250,000,000 aggregate principal amount of the Notes have been complied with, and such Notes may be delivered in accordance with the Order as provided in the Indenture.</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of the Notes (including the Form of Note) as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to this Certificate have been approved by officers of the Company as authorized by resolutions duly adopted on March 1, 2022, August 21, 2023, August 26, 2024 and October 3, 2024 by the Board of Directors of the Company, which are in full force and effect as of the date hereof.</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647700</wp:posOffset>
            </wp:positionV>
            <wp:extent cx="545211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36" w:name="page237"/>
    <w:bookmarkEnd w:id="236"/>
    <w:p>
      <w:pPr>
        <w:ind w:left="200" w:right="439"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hereunto executed this Officers’ Certificate as of the date first written above.</w:t>
      </w:r>
    </w:p>
    <w:p>
      <w:pPr>
        <w:spacing w:after="0" w:line="200" w:lineRule="exact"/>
        <w:rPr>
          <w:sz w:val="20"/>
          <w:szCs w:val="20"/>
          <w:color w:val="auto"/>
        </w:rPr>
      </w:pPr>
    </w:p>
    <w:p>
      <w:pPr>
        <w:spacing w:after="0" w:line="29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/s/ Leslie K. Nagy</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-160020</wp:posOffset>
            </wp:positionV>
            <wp:extent cx="26060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Vice President and Treasurer</w:t>
      </w:r>
    </w:p>
    <w:p>
      <w:pPr>
        <w:spacing w:after="0" w:line="25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/s/ Courtney A. Tippy</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-160020</wp:posOffset>
            </wp:positionV>
            <wp:extent cx="260604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Vice President and Corporate Secretary</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301 of the Indenture dated as of September 10, 1997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7" w:name="page238"/>
    <w:bookmarkEnd w:id="237"/>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Annex A</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Terms of the Notes</w:t>
      </w:r>
    </w:p>
    <w:p>
      <w:pPr>
        <w:spacing w:after="0" w:line="263"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auto"/>
        </w:rPr>
        <w:t>Pursuant to authority granted by the Board of Directors of the Company on March 1, 2022, August 21, 2023, August 26, 2024 and October 3, 2024 and the Sole Director of Waste Management Holdings, Inc. on October 3, 2024,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91" w:lineRule="exact"/>
        <w:rPr>
          <w:sz w:val="20"/>
          <w:szCs w:val="20"/>
          <w:color w:val="auto"/>
        </w:rPr>
      </w:pPr>
    </w:p>
    <w:p>
      <w:pPr>
        <w:ind w:left="860" w:hanging="651"/>
        <w:spacing w:after="0"/>
        <w:tabs>
          <w:tab w:leader="none" w:pos="86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title of the series of Securities shall be “5.350% Senior Notes due 2054” (the “Notes”).</w:t>
      </w:r>
    </w:p>
    <w:p>
      <w:pPr>
        <w:spacing w:after="0" w:line="231" w:lineRule="exact"/>
        <w:rPr>
          <w:rFonts w:ascii="Times New Roman" w:cs="Times New Roman" w:eastAsia="Times New Roman" w:hAnsi="Times New Roman"/>
          <w:sz w:val="21"/>
          <w:szCs w:val="21"/>
          <w:color w:val="auto"/>
        </w:rPr>
      </w:pPr>
    </w:p>
    <w:p>
      <w:pPr>
        <w:ind w:left="860" w:hanging="651"/>
        <w:spacing w:after="0"/>
        <w:tabs>
          <w:tab w:leader="none" w:pos="86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general unsecured, senior obligations of the Company.</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aggregate principal amount of the Notes that may be authenticated and delivered under the Indenture shall be $1,250,000,000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81"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each Note shall be payable on October 15, 2054.</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Note shall bear interest from November 4, 2024 at the fixed rate of 5.350% per annum; the Interest Payment Dates on which such interest shall be payable shall be April 15 and October 15 of each year, commencing April 15, 2025, until maturity, unless such date falls on a day that is not a Business Day, in which case, such payment shall be made on the next day that is a Business Day. The Regular Record Date for the determination of Holders to whom interest is payable shall be April 1 or October 1, respectively, immediately preceding such date, as the case may be.</w:t>
      </w:r>
    </w:p>
    <w:p>
      <w:pPr>
        <w:spacing w:after="0" w:line="181" w:lineRule="exact"/>
        <w:rPr>
          <w:rFonts w:ascii="Times New Roman" w:cs="Times New Roman" w:eastAsia="Times New Roman" w:hAnsi="Times New Roman"/>
          <w:sz w:val="22"/>
          <w:szCs w:val="22"/>
          <w:color w:val="auto"/>
        </w:rPr>
      </w:pPr>
    </w:p>
    <w:p>
      <w:pPr>
        <w:jc w:val="both"/>
        <w:ind w:left="860" w:right="219" w:hanging="651"/>
        <w:spacing w:after="0" w:line="252" w:lineRule="auto"/>
        <w:tabs>
          <w:tab w:leader="none" w:pos="86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79"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615950</wp:posOffset>
            </wp:positionV>
            <wp:extent cx="545211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238" w:name="page239"/>
    <w:bookmarkEnd w:id="238"/>
    <w:p>
      <w:pPr>
        <w:jc w:val="both"/>
        <w:ind w:left="860" w:right="219" w:hanging="651"/>
        <w:spacing w:after="0" w:line="251" w:lineRule="auto"/>
        <w:tabs>
          <w:tab w:leader="none" w:pos="86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67" w:lineRule="exact"/>
        <w:rPr>
          <w:rFonts w:ascii="Times New Roman" w:cs="Times New Roman" w:eastAsia="Times New Roman" w:hAnsi="Times New Roman"/>
          <w:sz w:val="22"/>
          <w:szCs w:val="22"/>
          <w:color w:val="auto"/>
        </w:rPr>
      </w:pPr>
    </w:p>
    <w:p>
      <w:pPr>
        <w:jc w:val="both"/>
        <w:ind w:left="860" w:right="239" w:hanging="651"/>
        <w:spacing w:after="0" w:line="281" w:lineRule="auto"/>
        <w:tabs>
          <w:tab w:leader="none" w:pos="860"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37" w:lineRule="exact"/>
        <w:rPr>
          <w:rFonts w:ascii="Times New Roman" w:cs="Times New Roman" w:eastAsia="Times New Roman" w:hAnsi="Times New Roman"/>
          <w:sz w:val="21"/>
          <w:szCs w:val="21"/>
          <w:color w:val="auto"/>
        </w:rPr>
      </w:pPr>
    </w:p>
    <w:p>
      <w:pPr>
        <w:jc w:val="both"/>
        <w:ind w:left="1500" w:right="219" w:firstLine="5"/>
        <w:spacing w:after="0" w:line="253" w:lineRule="auto"/>
        <w:tabs>
          <w:tab w:leader="none" w:pos="1857"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15 basis points, less (b) interest accrued to the Redemption Date, and</w:t>
      </w:r>
    </w:p>
    <w:p>
      <w:pPr>
        <w:spacing w:after="0" w:line="178" w:lineRule="exact"/>
        <w:rPr>
          <w:rFonts w:ascii="Times New Roman" w:cs="Times New Roman" w:eastAsia="Times New Roman" w:hAnsi="Times New Roman"/>
          <w:sz w:val="22"/>
          <w:szCs w:val="22"/>
          <w:color w:val="auto"/>
        </w:rPr>
      </w:pPr>
    </w:p>
    <w:p>
      <w:pPr>
        <w:ind w:left="1820" w:hanging="315"/>
        <w:spacing w:after="0"/>
        <w:tabs>
          <w:tab w:leader="none" w:pos="1820"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Notes to be redeemed,</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plus, in either case, accrued and unpaid interest thereon to the Redemption Date.</w:t>
      </w:r>
    </w:p>
    <w:p>
      <w:pPr>
        <w:spacing w:after="0" w:line="220" w:lineRule="exact"/>
        <w:rPr>
          <w:sz w:val="20"/>
          <w:szCs w:val="20"/>
          <w:color w:val="auto"/>
        </w:rPr>
      </w:pPr>
    </w:p>
    <w:p>
      <w:pPr>
        <w:jc w:val="both"/>
        <w:ind w:left="860" w:right="219"/>
        <w:spacing w:after="0" w:line="252" w:lineRule="auto"/>
        <w:rPr>
          <w:sz w:val="20"/>
          <w:szCs w:val="20"/>
          <w:color w:val="auto"/>
        </w:rPr>
      </w:pPr>
      <w:r>
        <w:rPr>
          <w:rFonts w:ascii="Times New Roman" w:cs="Times New Roman" w:eastAsia="Times New Roman" w:hAnsi="Times New Roman"/>
          <w:sz w:val="22"/>
          <w:szCs w:val="22"/>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“Par Call Date” means April 15, 2054.</w:t>
      </w:r>
    </w:p>
    <w:p>
      <w:pPr>
        <w:spacing w:after="0" w:line="220" w:lineRule="exact"/>
        <w:rPr>
          <w:sz w:val="20"/>
          <w:szCs w:val="20"/>
          <w:color w:val="auto"/>
        </w:rPr>
      </w:pPr>
    </w:p>
    <w:p>
      <w:pPr>
        <w:jc w:val="both"/>
        <w:ind w:left="860" w:right="239" w:hanging="651"/>
        <w:spacing w:after="0" w:line="257" w:lineRule="auto"/>
        <w:tabs>
          <w:tab w:leader="none" w:pos="86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no obligation to redeem, purchase or repay the Notes pursuant to any mandatory redemption, sinking fund or analogous provisions or at the option of a Holder thereof.</w:t>
      </w:r>
    </w:p>
    <w:p>
      <w:pPr>
        <w:spacing w:after="0" w:line="172"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will be subject to defeasance and discharge as contemplated by Section 1302 of the Indenture and to covenant defeasance under Section 1303 of the Indenture.</w:t>
      </w:r>
    </w:p>
    <w:p>
      <w:pPr>
        <w:spacing w:after="0" w:line="157"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entitled to the benefit of the covenants contained in Sections 1008 and 1009 of the Indenture.</w:t>
      </w:r>
    </w:p>
    <w:p>
      <w:pPr>
        <w:spacing w:after="0" w:line="157"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 of New York Mellon Trust Company, N.A. shall serve initially as Security Registrar for the Notes.</w:t>
      </w:r>
    </w:p>
    <w:p>
      <w:pPr>
        <w:spacing w:after="0" w:line="157"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substantially in the form of Exhibit A hereto.</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65" w:lineRule="auto"/>
        <w:tabs>
          <w:tab w:leader="none" w:pos="860"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Notes will be fully and unconditionally guaranteed on a senior basis by the Company’s wholly owned subsidiary, Waste Management Holdings, Inc., pursuant to the terms and conditions of a Guarantee Agreement dated November 4, 2024 (the “Guarantee”). The amount of the Guarantee will be limited to the extent required under applicable fraudulent conveyance laws to cause the Guarantee to be enforceable. The terms and conditions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602615</wp:posOffset>
            </wp:positionV>
            <wp:extent cx="545211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9" w:name="page240"/>
    <w:bookmarkEnd w:id="239"/>
    <w:p>
      <w:pPr>
        <w:ind w:left="860" w:right="239"/>
        <w:spacing w:after="0" w:line="271" w:lineRule="auto"/>
        <w:rPr>
          <w:sz w:val="20"/>
          <w:szCs w:val="20"/>
          <w:color w:val="auto"/>
        </w:rPr>
      </w:pPr>
      <w:r>
        <w:rPr>
          <w:rFonts w:ascii="Times New Roman" w:cs="Times New Roman" w:eastAsia="Times New Roman" w:hAnsi="Times New Roman"/>
          <w:sz w:val="22"/>
          <w:szCs w:val="22"/>
          <w:color w:val="auto"/>
        </w:rPr>
        <w:t>Guarantee shall continue in full force and effect for the benefit of holders of the Notes until release thereof as set forth in Section 6 of the Guarantee.</w:t>
      </w:r>
    </w:p>
    <w:p>
      <w:pPr>
        <w:spacing w:after="0" w:line="158" w:lineRule="exact"/>
        <w:rPr>
          <w:sz w:val="20"/>
          <w:szCs w:val="20"/>
          <w:color w:val="auto"/>
        </w:rPr>
      </w:pPr>
    </w:p>
    <w:p>
      <w:pPr>
        <w:jc w:val="both"/>
        <w:ind w:left="860" w:right="219" w:hanging="651"/>
        <w:spacing w:after="0" w:line="263" w:lineRule="auto"/>
        <w:tabs>
          <w:tab w:leader="none" w:pos="86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1537970</wp:posOffset>
            </wp:positionV>
            <wp:extent cx="545211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40" w:name="page241"/>
    <w:bookmarkEnd w:id="240"/>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655320</wp:posOffset>
            </wp:positionV>
            <wp:extent cx="545211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41" w:name="page242"/>
    <w:bookmarkEnd w:id="241"/>
    <w:p>
      <w:pPr>
        <w:jc w:val="center"/>
        <w:ind w:right="19"/>
        <w:spacing w:after="0"/>
        <w:rPr>
          <w:sz w:val="20"/>
          <w:szCs w:val="20"/>
          <w:color w:val="auto"/>
        </w:rPr>
      </w:pPr>
      <w:r>
        <w:rPr>
          <w:rFonts w:ascii="Times New Roman" w:cs="Times New Roman" w:eastAsia="Times New Roman" w:hAnsi="Times New Roman"/>
          <w:sz w:val="22"/>
          <w:szCs w:val="22"/>
          <w:color w:val="auto"/>
        </w:rPr>
        <w:t>BOOK-ENTRY SECURITY</w:t>
      </w:r>
    </w:p>
    <w:p>
      <w:pPr>
        <w:spacing w:after="0" w:line="220" w:lineRule="exact"/>
        <w:rPr>
          <w:sz w:val="20"/>
          <w:szCs w:val="20"/>
          <w:color w:val="auto"/>
        </w:rPr>
      </w:pPr>
    </w:p>
    <w:p>
      <w:pPr>
        <w:jc w:val="both"/>
        <w:ind w:left="200" w:right="219" w:firstLine="667"/>
        <w:spacing w:after="0" w:line="247" w:lineRule="auto"/>
        <w:rPr>
          <w:sz w:val="20"/>
          <w:szCs w:val="20"/>
          <w:color w:val="auto"/>
        </w:rPr>
      </w:pPr>
      <w:r>
        <w:rPr>
          <w:rFonts w:ascii="Times New Roman" w:cs="Times New Roman" w:eastAsia="Times New Roman" w:hAnsi="Times New Roman"/>
          <w:sz w:val="22"/>
          <w:szCs w:val="22"/>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91"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282"/>
        </w:trPr>
        <w:tc>
          <w:tcPr>
            <w:tcW w:w="5800" w:type="dxa"/>
            <w:vAlign w:val="bottom"/>
          </w:tcPr>
          <w:p>
            <w:pPr>
              <w:spacing w:after="0"/>
              <w:rPr>
                <w:sz w:val="20"/>
                <w:szCs w:val="20"/>
                <w:color w:val="auto"/>
              </w:rPr>
            </w:pPr>
            <w:r>
              <w:rPr>
                <w:rFonts w:ascii="Times New Roman" w:cs="Times New Roman" w:eastAsia="Times New Roman" w:hAnsi="Times New Roman"/>
                <w:sz w:val="22"/>
                <w:szCs w:val="22"/>
                <w:color w:val="auto"/>
              </w:rPr>
              <w:t>RGN</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Principal Amount</w:t>
            </w:r>
          </w:p>
        </w:tc>
        <w:tc>
          <w:tcPr>
            <w:tcW w:w="0" w:type="dxa"/>
            <w:vAlign w:val="bottom"/>
          </w:tcPr>
          <w:p>
            <w:pPr>
              <w:spacing w:after="0"/>
              <w:rPr>
                <w:sz w:val="1"/>
                <w:szCs w:val="1"/>
                <w:color w:val="auto"/>
              </w:rPr>
            </w:pPr>
          </w:p>
        </w:tc>
      </w:tr>
      <w:tr>
        <w:trPr>
          <w:trHeight w:val="460"/>
        </w:trPr>
        <w:tc>
          <w:tcPr>
            <w:tcW w:w="5800" w:type="dxa"/>
            <w:vAlign w:val="bottom"/>
          </w:tcPr>
          <w:p>
            <w:pPr>
              <w:spacing w:after="0"/>
              <w:rPr>
                <w:sz w:val="24"/>
                <w:szCs w:val="24"/>
                <w:color w:val="auto"/>
              </w:rPr>
            </w:pPr>
          </w:p>
        </w:tc>
        <w:tc>
          <w:tcPr>
            <w:tcW w:w="198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U.S. $</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7"/>
        </w:trPr>
        <w:tc>
          <w:tcPr>
            <w:tcW w:w="5800" w:type="dxa"/>
            <w:vAlign w:val="bottom"/>
          </w:tcPr>
          <w:p>
            <w:pPr>
              <w:spacing w:after="0"/>
              <w:rPr>
                <w:sz w:val="22"/>
                <w:szCs w:val="22"/>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which may be decreased</w:t>
            </w:r>
          </w:p>
        </w:tc>
        <w:tc>
          <w:tcPr>
            <w:tcW w:w="0" w:type="dxa"/>
            <w:vAlign w:val="bottom"/>
          </w:tcPr>
          <w:p>
            <w:pPr>
              <w:spacing w:after="0"/>
              <w:rPr>
                <w:sz w:val="1"/>
                <w:szCs w:val="1"/>
                <w:color w:val="auto"/>
              </w:rPr>
            </w:pPr>
          </w:p>
        </w:tc>
      </w:tr>
      <w:tr>
        <w:trPr>
          <w:trHeight w:val="256"/>
        </w:trPr>
        <w:tc>
          <w:tcPr>
            <w:tcW w:w="5800" w:type="dxa"/>
            <w:vAlign w:val="bottom"/>
          </w:tcPr>
          <w:p>
            <w:pPr>
              <w:spacing w:after="0"/>
              <w:rPr>
                <w:sz w:val="22"/>
                <w:szCs w:val="22"/>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by the Schedule of</w:t>
            </w:r>
          </w:p>
        </w:tc>
        <w:tc>
          <w:tcPr>
            <w:tcW w:w="0" w:type="dxa"/>
            <w:vAlign w:val="bottom"/>
          </w:tcPr>
          <w:p>
            <w:pPr>
              <w:spacing w:after="0"/>
              <w:rPr>
                <w:sz w:val="1"/>
                <w:szCs w:val="1"/>
                <w:color w:val="auto"/>
              </w:rPr>
            </w:pPr>
          </w:p>
        </w:tc>
      </w:tr>
      <w:tr>
        <w:trPr>
          <w:trHeight w:val="257"/>
        </w:trPr>
        <w:tc>
          <w:tcPr>
            <w:tcW w:w="580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WASTE MANAGEMENT, INC.</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Exchanges of Definitive</w:t>
            </w:r>
          </w:p>
        </w:tc>
        <w:tc>
          <w:tcPr>
            <w:tcW w:w="0" w:type="dxa"/>
            <w:vAlign w:val="bottom"/>
          </w:tcPr>
          <w:p>
            <w:pPr>
              <w:spacing w:after="0"/>
              <w:rPr>
                <w:sz w:val="1"/>
                <w:szCs w:val="1"/>
                <w:color w:val="auto"/>
              </w:rPr>
            </w:pPr>
          </w:p>
        </w:tc>
      </w:tr>
      <w:tr>
        <w:trPr>
          <w:trHeight w:val="282"/>
        </w:trPr>
        <w:tc>
          <w:tcPr>
            <w:tcW w:w="5800" w:type="dxa"/>
            <w:vAlign w:val="bottom"/>
            <w:vMerge w:val="continue"/>
          </w:tcPr>
          <w:p>
            <w:pPr>
              <w:spacing w:after="0"/>
              <w:rPr>
                <w:sz w:val="24"/>
                <w:szCs w:val="24"/>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Security attached hereto</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5.350% SENIOR NOTES DUE 2054</w:t>
      </w:r>
    </w:p>
    <w:p>
      <w:pPr>
        <w:spacing w:after="0" w:line="23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22"/>
          <w:szCs w:val="22"/>
          <w:color w:val="auto"/>
        </w:rPr>
        <w:t>CUSIP 94106L CF4</w:t>
      </w:r>
    </w:p>
    <w:p>
      <w:pPr>
        <w:spacing w:after="0" w:line="233" w:lineRule="exact"/>
        <w:rPr>
          <w:sz w:val="20"/>
          <w:szCs w:val="20"/>
          <w:color w:val="auto"/>
        </w:rPr>
      </w:pPr>
    </w:p>
    <w:p>
      <w:pPr>
        <w:jc w:val="both"/>
        <w:ind w:left="200" w:right="219" w:firstLine="667"/>
        <w:spacing w:after="0" w:line="262" w:lineRule="auto"/>
        <w:rPr>
          <w:sz w:val="20"/>
          <w:szCs w:val="20"/>
          <w:color w:val="auto"/>
        </w:rPr>
      </w:pPr>
      <w:r>
        <w:rPr>
          <w:rFonts w:ascii="Times New Roman" w:cs="Times New Roman" w:eastAsia="Times New Roman" w:hAnsi="Times New Roman"/>
          <w:sz w:val="21"/>
          <w:szCs w:val="21"/>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w:t>
      </w:r>
    </w:p>
    <w:p>
      <w:pPr>
        <w:spacing w:after="0" w:line="3"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principal sum of Million ($ ) U.S. dollars, or such lesser principal sum as is shown on the attached Schedule of Exchanges of Definitive Security, on October 15, 2054 in such coin or currency of the United States of America as at the time of payment shall be legal tender for the payment of public and private debts, and to pay interest at an annual rate of 5.350% payable on April 15 and October 15 of each year, to the person in whose name this Security is registered at the close of business on the record date for such interest, which shall be the preceding April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479425</wp:posOffset>
            </wp:positionV>
            <wp:extent cx="5452110"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42" w:name="page243"/>
    <w:bookmarkEnd w:id="242"/>
    <w:p>
      <w:pPr>
        <w:jc w:val="both"/>
        <w:ind w:left="200" w:right="219"/>
        <w:spacing w:after="0" w:line="271" w:lineRule="auto"/>
        <w:rPr>
          <w:sz w:val="20"/>
          <w:szCs w:val="20"/>
          <w:color w:val="auto"/>
        </w:rPr>
      </w:pPr>
      <w:r>
        <w:rPr>
          <w:rFonts w:ascii="Times New Roman" w:cs="Times New Roman" w:eastAsia="Times New Roman" w:hAnsi="Times New Roman"/>
          <w:sz w:val="22"/>
          <w:szCs w:val="22"/>
          <w:color w:val="auto"/>
        </w:rPr>
        <w:t>or October 1, respectively, payable commencing April 15, 2025, with interest accruing from November 4, 2024, or the most recent date to which interest has been paid.</w:t>
      </w:r>
    </w:p>
    <w:p>
      <w:pPr>
        <w:spacing w:after="0" w:line="171"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Reference is made to the further provisions of this Security set forth on the reverse hereof. Such further provisions shall for all purposes have the same effect as though fully set forth at this place.</w:t>
      </w:r>
    </w:p>
    <w:p>
      <w:pPr>
        <w:spacing w:after="0" w:line="173"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73"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This Security is issued in respect of a series of Securities of an initial aggregate of U.S. $1,250,000,000 in principal amount designated as the 5.350% Senior Notes due 2054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91"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79" w:lineRule="exact"/>
        <w:rPr>
          <w:sz w:val="20"/>
          <w:szCs w:val="20"/>
          <w:color w:val="auto"/>
        </w:rPr>
      </w:pPr>
    </w:p>
    <w:p>
      <w:pPr>
        <w:jc w:val="both"/>
        <w:ind w:left="200" w:right="239" w:firstLine="667"/>
        <w:spacing w:after="0" w:line="271" w:lineRule="auto"/>
        <w:rPr>
          <w:sz w:val="20"/>
          <w:szCs w:val="20"/>
          <w:color w:val="auto"/>
        </w:rPr>
      </w:pPr>
      <w:r>
        <w:rPr>
          <w:rFonts w:ascii="Times New Roman" w:cs="Times New Roman" w:eastAsia="Times New Roman" w:hAnsi="Times New Roman"/>
          <w:sz w:val="22"/>
          <w:szCs w:val="22"/>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597535</wp:posOffset>
            </wp:positionV>
            <wp:extent cx="5452110"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43" w:name="page244"/>
    <w:bookmarkEnd w:id="243"/>
    <w:p>
      <w:pPr>
        <w:ind w:left="200" w:right="239" w:firstLine="667"/>
        <w:spacing w:after="0" w:line="271" w:lineRule="auto"/>
        <w:rPr>
          <w:sz w:val="20"/>
          <w:szCs w:val="20"/>
          <w:color w:val="auto"/>
        </w:rPr>
      </w:pPr>
      <w:r>
        <w:rPr>
          <w:rFonts w:ascii="Times New Roman" w:cs="Times New Roman" w:eastAsia="Times New Roman" w:hAnsi="Times New Roman"/>
          <w:sz w:val="22"/>
          <w:szCs w:val="22"/>
          <w:color w:val="auto"/>
        </w:rPr>
        <w:t>This Security shall not be valid or become obligatory for any purpose until the Certificate of Authentication hereon shall have been manually signed by the Trustee under the Indenture.</w:t>
      </w:r>
    </w:p>
    <w:p>
      <w:pPr>
        <w:spacing w:after="0" w:line="171"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instrument to be duly executed under its corporate seal.</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Dated:</w:t>
            </w: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WASTE MANAGEMENT, INC.,</w:t>
            </w:r>
          </w:p>
        </w:tc>
      </w:tr>
      <w:tr>
        <w:trPr>
          <w:trHeight w:val="282"/>
        </w:trPr>
        <w:tc>
          <w:tcPr>
            <w:tcW w:w="2420" w:type="dxa"/>
            <w:vAlign w:val="bottom"/>
          </w:tcPr>
          <w:p>
            <w:pPr>
              <w:spacing w:after="0"/>
              <w:rPr>
                <w:sz w:val="24"/>
                <w:szCs w:val="24"/>
                <w:color w:val="auto"/>
              </w:rPr>
            </w:pP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a Delaware corporation</w:t>
            </w:r>
          </w:p>
        </w:tc>
      </w:tr>
      <w:tr>
        <w:trPr>
          <w:trHeight w:val="461"/>
        </w:trPr>
        <w:tc>
          <w:tcPr>
            <w:tcW w:w="2420" w:type="dxa"/>
            <w:vAlign w:val="bottom"/>
          </w:tcPr>
          <w:p>
            <w:pPr>
              <w:spacing w:after="0"/>
              <w:rPr>
                <w:sz w:val="24"/>
                <w:szCs w:val="24"/>
                <w:color w:val="auto"/>
              </w:rPr>
            </w:pPr>
          </w:p>
        </w:tc>
        <w:tc>
          <w:tcPr>
            <w:tcW w:w="238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By:</w:t>
            </w:r>
          </w:p>
        </w:tc>
        <w:tc>
          <w:tcPr>
            <w:tcW w:w="2480" w:type="dxa"/>
            <w:vAlign w:val="bottom"/>
            <w:tcBorders>
              <w:bottom w:val="single" w:sz="8" w:color="auto"/>
            </w:tcBorders>
            <w:gridSpan w:val="3"/>
          </w:tcPr>
          <w:p>
            <w:pPr>
              <w:spacing w:after="0"/>
              <w:rPr>
                <w:sz w:val="24"/>
                <w:szCs w:val="24"/>
                <w:color w:val="auto"/>
              </w:rPr>
            </w:pPr>
          </w:p>
        </w:tc>
        <w:tc>
          <w:tcPr>
            <w:tcW w:w="940" w:type="dxa"/>
            <w:vAlign w:val="bottom"/>
          </w:tcPr>
          <w:p>
            <w:pPr>
              <w:spacing w:after="0"/>
              <w:rPr>
                <w:sz w:val="24"/>
                <w:szCs w:val="24"/>
                <w:color w:val="auto"/>
              </w:rPr>
            </w:pPr>
          </w:p>
        </w:tc>
      </w:tr>
      <w:tr>
        <w:trPr>
          <w:trHeight w:val="263"/>
        </w:trPr>
        <w:tc>
          <w:tcPr>
            <w:tcW w:w="2420" w:type="dxa"/>
            <w:vAlign w:val="bottom"/>
          </w:tcPr>
          <w:p>
            <w:pPr>
              <w:spacing w:after="0"/>
              <w:rPr>
                <w:sz w:val="22"/>
                <w:szCs w:val="22"/>
                <w:color w:val="auto"/>
              </w:rPr>
            </w:pPr>
          </w:p>
        </w:tc>
        <w:tc>
          <w:tcPr>
            <w:tcW w:w="5800" w:type="dxa"/>
            <w:vAlign w:val="bottom"/>
            <w:gridSpan w:val="5"/>
          </w:tcPr>
          <w:p>
            <w:pPr>
              <w:ind w:left="2380"/>
              <w:spacing w:after="0"/>
              <w:rPr>
                <w:sz w:val="20"/>
                <w:szCs w:val="20"/>
                <w:color w:val="auto"/>
              </w:rPr>
            </w:pPr>
            <w:r>
              <w:rPr>
                <w:rFonts w:ascii="Times New Roman" w:cs="Times New Roman" w:eastAsia="Times New Roman" w:hAnsi="Times New Roman"/>
                <w:sz w:val="22"/>
                <w:szCs w:val="22"/>
                <w:color w:val="auto"/>
              </w:rPr>
              <w:t>Leslie K. Nagy</w:t>
            </w:r>
          </w:p>
        </w:tc>
      </w:tr>
      <w:tr>
        <w:trPr>
          <w:trHeight w:val="282"/>
        </w:trPr>
        <w:tc>
          <w:tcPr>
            <w:tcW w:w="2420" w:type="dxa"/>
            <w:vAlign w:val="bottom"/>
          </w:tcPr>
          <w:p>
            <w:pPr>
              <w:spacing w:after="0"/>
              <w:rPr>
                <w:sz w:val="24"/>
                <w:szCs w:val="24"/>
                <w:color w:val="auto"/>
              </w:rPr>
            </w:pPr>
          </w:p>
        </w:tc>
        <w:tc>
          <w:tcPr>
            <w:tcW w:w="5800" w:type="dxa"/>
            <w:vAlign w:val="bottom"/>
            <w:gridSpan w:val="5"/>
          </w:tcPr>
          <w:p>
            <w:pPr>
              <w:ind w:left="2380"/>
              <w:spacing w:after="0"/>
              <w:rPr>
                <w:sz w:val="20"/>
                <w:szCs w:val="20"/>
                <w:color w:val="auto"/>
              </w:rPr>
            </w:pPr>
            <w:r>
              <w:rPr>
                <w:rFonts w:ascii="Times New Roman" w:cs="Times New Roman" w:eastAsia="Times New Roman" w:hAnsi="Times New Roman"/>
                <w:sz w:val="22"/>
                <w:szCs w:val="22"/>
                <w:color w:val="auto"/>
              </w:rPr>
              <w:t>Vice President and Treasurer</w:t>
            </w:r>
          </w:p>
        </w:tc>
      </w:tr>
      <w:tr>
        <w:trPr>
          <w:trHeight w:val="769"/>
        </w:trPr>
        <w:tc>
          <w:tcPr>
            <w:tcW w:w="2420" w:type="dxa"/>
            <w:vAlign w:val="bottom"/>
          </w:tcPr>
          <w:p>
            <w:pPr>
              <w:spacing w:after="0"/>
              <w:rPr>
                <w:sz w:val="24"/>
                <w:szCs w:val="24"/>
                <w:color w:val="auto"/>
              </w:rPr>
            </w:pP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Attest:</w:t>
            </w:r>
          </w:p>
        </w:tc>
      </w:tr>
      <w:tr>
        <w:trPr>
          <w:trHeight w:val="461"/>
        </w:trPr>
        <w:tc>
          <w:tcPr>
            <w:tcW w:w="2420" w:type="dxa"/>
            <w:vAlign w:val="bottom"/>
          </w:tcPr>
          <w:p>
            <w:pPr>
              <w:spacing w:after="0"/>
              <w:rPr>
                <w:sz w:val="24"/>
                <w:szCs w:val="24"/>
                <w:color w:val="auto"/>
              </w:rPr>
            </w:pPr>
          </w:p>
        </w:tc>
        <w:tc>
          <w:tcPr>
            <w:tcW w:w="2400" w:type="dxa"/>
            <w:vAlign w:val="bottom"/>
            <w:gridSpan w:val="2"/>
          </w:tcPr>
          <w:p>
            <w:pPr>
              <w:ind w:left="1820"/>
              <w:spacing w:after="0"/>
              <w:rPr>
                <w:sz w:val="20"/>
                <w:szCs w:val="20"/>
                <w:color w:val="auto"/>
              </w:rPr>
            </w:pPr>
            <w:r>
              <w:rPr>
                <w:rFonts w:ascii="Times New Roman" w:cs="Times New Roman" w:eastAsia="Times New Roman" w:hAnsi="Times New Roman"/>
                <w:sz w:val="22"/>
                <w:szCs w:val="22"/>
                <w:color w:val="auto"/>
              </w:rPr>
              <w:t>By:</w:t>
            </w:r>
          </w:p>
        </w:tc>
        <w:tc>
          <w:tcPr>
            <w:tcW w:w="2440" w:type="dxa"/>
            <w:vAlign w:val="bottom"/>
            <w:tcBorders>
              <w:bottom w:val="single" w:sz="8" w:color="auto"/>
            </w:tcBorders>
          </w:tcPr>
          <w:p>
            <w:pPr>
              <w:spacing w:after="0"/>
              <w:rPr>
                <w:sz w:val="24"/>
                <w:szCs w:val="24"/>
                <w:color w:val="auto"/>
              </w:rPr>
            </w:pPr>
          </w:p>
        </w:tc>
        <w:tc>
          <w:tcPr>
            <w:tcW w:w="960" w:type="dxa"/>
            <w:vAlign w:val="bottom"/>
            <w:gridSpan w:val="2"/>
          </w:tcPr>
          <w:p>
            <w:pPr>
              <w:spacing w:after="0"/>
              <w:rPr>
                <w:sz w:val="24"/>
                <w:szCs w:val="24"/>
                <w:color w:val="auto"/>
              </w:rPr>
            </w:pPr>
          </w:p>
        </w:tc>
      </w:tr>
      <w:tr>
        <w:trPr>
          <w:trHeight w:val="263"/>
        </w:trPr>
        <w:tc>
          <w:tcPr>
            <w:tcW w:w="2420" w:type="dxa"/>
            <w:vAlign w:val="bottom"/>
          </w:tcPr>
          <w:p>
            <w:pPr>
              <w:spacing w:after="0"/>
              <w:rPr>
                <w:sz w:val="22"/>
                <w:szCs w:val="22"/>
                <w:color w:val="auto"/>
              </w:rPr>
            </w:pPr>
          </w:p>
        </w:tc>
        <w:tc>
          <w:tcPr>
            <w:tcW w:w="5800" w:type="dxa"/>
            <w:vAlign w:val="bottom"/>
            <w:gridSpan w:val="5"/>
          </w:tcPr>
          <w:p>
            <w:pPr>
              <w:ind w:left="2380"/>
              <w:spacing w:after="0"/>
              <w:rPr>
                <w:sz w:val="20"/>
                <w:szCs w:val="20"/>
                <w:color w:val="auto"/>
              </w:rPr>
            </w:pPr>
            <w:r>
              <w:rPr>
                <w:rFonts w:ascii="Times New Roman" w:cs="Times New Roman" w:eastAsia="Times New Roman" w:hAnsi="Times New Roman"/>
                <w:sz w:val="22"/>
                <w:szCs w:val="22"/>
                <w:color w:val="auto"/>
              </w:rPr>
              <w:t>Courtney A. Tippy</w:t>
            </w:r>
          </w:p>
        </w:tc>
      </w:tr>
      <w:tr>
        <w:trPr>
          <w:trHeight w:val="282"/>
        </w:trPr>
        <w:tc>
          <w:tcPr>
            <w:tcW w:w="2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2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7"/>
              </w:rPr>
              <w:t>Vice President and Corporate Secretary</w:t>
            </w:r>
          </w:p>
        </w:tc>
      </w:tr>
    </w:tbl>
    <w:p>
      <w:pPr>
        <w:spacing w:after="0" w:line="3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CERTIFICATE OF AUTHENTICATION</w:t>
      </w:r>
    </w:p>
    <w:p>
      <w:pPr>
        <w:spacing w:after="0" w:line="220"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is one of the Securities of the series designated therein referred to in the within-mentioned Indenture.</w:t>
      </w:r>
    </w:p>
    <w:p>
      <w:pPr>
        <w:spacing w:after="0" w:line="158"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2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Date of Authentication:</w:t>
            </w:r>
          </w:p>
        </w:tc>
        <w:tc>
          <w:tcPr>
            <w:tcW w:w="536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w w:val="99"/>
              </w:rPr>
              <w:t>The Bank of New York Mellon Trust Company,</w:t>
            </w:r>
          </w:p>
        </w:tc>
      </w:tr>
      <w:tr>
        <w:trPr>
          <w:trHeight w:val="282"/>
        </w:trPr>
        <w:tc>
          <w:tcPr>
            <w:tcW w:w="3220" w:type="dxa"/>
            <w:vAlign w:val="bottom"/>
          </w:tcPr>
          <w:p>
            <w:pPr>
              <w:spacing w:after="0"/>
              <w:rPr>
                <w:sz w:val="24"/>
                <w:szCs w:val="24"/>
                <w:color w:val="auto"/>
              </w:rPr>
            </w:pPr>
          </w:p>
        </w:tc>
        <w:tc>
          <w:tcPr>
            <w:tcW w:w="536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rPr>
              <w:t>N.A., as Trustee</w:t>
            </w:r>
          </w:p>
        </w:tc>
      </w:tr>
      <w:tr>
        <w:trPr>
          <w:trHeight w:val="474"/>
        </w:trPr>
        <w:tc>
          <w:tcPr>
            <w:tcW w:w="3220" w:type="dxa"/>
            <w:vAlign w:val="bottom"/>
          </w:tcPr>
          <w:p>
            <w:pPr>
              <w:spacing w:after="0"/>
              <w:rPr>
                <w:sz w:val="24"/>
                <w:szCs w:val="24"/>
                <w:color w:val="auto"/>
              </w:rPr>
            </w:pPr>
          </w:p>
        </w:tc>
        <w:tc>
          <w:tcPr>
            <w:tcW w:w="536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rPr>
              <w:t>By: ​</w:t>
            </w:r>
          </w:p>
        </w:tc>
      </w:tr>
      <w:tr>
        <w:trPr>
          <w:trHeight w:val="289"/>
        </w:trPr>
        <w:tc>
          <w:tcPr>
            <w:tcW w:w="3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5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Authorized Officer</w:t>
            </w:r>
          </w:p>
        </w:tc>
        <w:tc>
          <w:tcPr>
            <w:tcW w:w="320" w:type="dxa"/>
            <w:vAlign w:val="bottom"/>
          </w:tcPr>
          <w:p>
            <w:pPr>
              <w:spacing w:after="0"/>
              <w:rPr>
                <w:sz w:val="24"/>
                <w:szCs w:val="24"/>
                <w:color w:val="auto"/>
              </w:rPr>
            </w:pPr>
          </w:p>
        </w:tc>
      </w:tr>
      <w:tr>
        <w:trPr>
          <w:trHeight w:val="1332"/>
        </w:trPr>
        <w:tc>
          <w:tcPr>
            <w:tcW w:w="3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244" w:name="page245"/>
    <w:bookmarkEnd w:id="244"/>
    <w:p>
      <w:pPr>
        <w:jc w:val="center"/>
        <w:ind w:right="19"/>
        <w:spacing w:after="0"/>
        <w:rPr>
          <w:sz w:val="20"/>
          <w:szCs w:val="20"/>
          <w:color w:val="auto"/>
        </w:rPr>
      </w:pPr>
      <w:r>
        <w:rPr>
          <w:rFonts w:ascii="Times New Roman" w:cs="Times New Roman" w:eastAsia="Times New Roman" w:hAnsi="Times New Roman"/>
          <w:sz w:val="22"/>
          <w:szCs w:val="22"/>
          <w:color w:val="auto"/>
        </w:rPr>
        <w:t>REVERSE OF BOOK-ENTRY SECURITY</w:t>
      </w:r>
    </w:p>
    <w:p>
      <w:pPr>
        <w:spacing w:after="0" w:line="27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WASTE MANAGEMENT, INC.</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5.350% SENIOR NOTES DUE 2054</w:t>
      </w:r>
    </w:p>
    <w:p>
      <w:pPr>
        <w:spacing w:after="0" w:line="274"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5.350% Senior Notes due 2054 of the Company, in initial aggregate principal amount of $1,250,000,000 (the “Securities”).</w:t>
      </w:r>
    </w:p>
    <w:p>
      <w:pPr>
        <w:spacing w:after="0" w:line="181" w:lineRule="exact"/>
        <w:rPr>
          <w:sz w:val="20"/>
          <w:szCs w:val="20"/>
          <w:color w:val="auto"/>
        </w:rPr>
      </w:pPr>
    </w:p>
    <w:p>
      <w:pPr>
        <w:ind w:left="1500" w:hanging="643"/>
        <w:spacing w:after="0"/>
        <w:tabs>
          <w:tab w:leader="none" w:pos="150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Interest.</w:t>
      </w:r>
    </w:p>
    <w:p>
      <w:pPr>
        <w:spacing w:after="0" w:line="224"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The Company promises to pay interest on the principal amount of this Security at the rate of 5.350% per annum.</w:t>
      </w:r>
    </w:p>
    <w:p>
      <w:pPr>
        <w:spacing w:after="0" w:line="171"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The Company will pay interest semi-annually on April 15 and October 15 of each year (each an “Interest Payment Date”), commencing April 15, 2025. Interest on the Securities will accrue from the most recent date to which interest has been paid or, if no interest has been paid on the Securities, from November 4, 2024.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5.350% per annum, in each case to the extent lawful.</w:t>
      </w:r>
    </w:p>
    <w:p>
      <w:pPr>
        <w:spacing w:after="0" w:line="187" w:lineRule="exact"/>
        <w:rPr>
          <w:sz w:val="20"/>
          <w:szCs w:val="20"/>
          <w:color w:val="auto"/>
        </w:rPr>
      </w:pPr>
    </w:p>
    <w:p>
      <w:pPr>
        <w:ind w:left="1500" w:hanging="643"/>
        <w:spacing w:after="0"/>
        <w:tabs>
          <w:tab w:leader="none" w:pos="150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Method of Payment.</w:t>
      </w:r>
    </w:p>
    <w:p>
      <w:pPr>
        <w:spacing w:after="0" w:line="224"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1"/>
          <w:szCs w:val="21"/>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473710</wp:posOffset>
            </wp:positionV>
            <wp:extent cx="545211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45" w:name="page246"/>
    <w:bookmarkEnd w:id="245"/>
    <w:p>
      <w:pPr>
        <w:jc w:val="both"/>
        <w:ind w:left="200" w:right="219"/>
        <w:spacing w:after="0" w:line="250" w:lineRule="auto"/>
        <w:rPr>
          <w:sz w:val="20"/>
          <w:szCs w:val="20"/>
          <w:color w:val="auto"/>
        </w:rPr>
      </w:pPr>
      <w:r>
        <w:rPr>
          <w:rFonts w:ascii="Times New Roman" w:cs="Times New Roman" w:eastAsia="Times New Roman" w:hAnsi="Times New Roman"/>
          <w:sz w:val="22"/>
          <w:szCs w:val="22"/>
          <w:color w:val="auto"/>
        </w:rPr>
        <w:t>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176" w:lineRule="exact"/>
        <w:rPr>
          <w:sz w:val="20"/>
          <w:szCs w:val="20"/>
          <w:color w:val="auto"/>
        </w:rPr>
      </w:pPr>
    </w:p>
    <w:p>
      <w:pPr>
        <w:ind w:left="1500" w:hanging="643"/>
        <w:spacing w:after="0"/>
        <w:tabs>
          <w:tab w:leader="none" w:pos="150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Paying Agent and Registrar.</w:t>
      </w:r>
    </w:p>
    <w:p>
      <w:pPr>
        <w:spacing w:after="0" w:line="224"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5" w:lineRule="exact"/>
        <w:rPr>
          <w:sz w:val="20"/>
          <w:szCs w:val="20"/>
          <w:color w:val="auto"/>
        </w:rPr>
      </w:pPr>
    </w:p>
    <w:p>
      <w:pPr>
        <w:ind w:left="1500" w:hanging="643"/>
        <w:spacing w:after="0"/>
        <w:tabs>
          <w:tab w:leader="none" w:pos="150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Indenture.</w:t>
      </w:r>
    </w:p>
    <w:p>
      <w:pPr>
        <w:spacing w:after="0" w:line="224"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Security is one of a duly authorized issue of Debt Securities of the Company issued and to be issued in one or more series under the Indenture.</w:t>
      </w:r>
    </w:p>
    <w:p>
      <w:pPr>
        <w:spacing w:after="0" w:line="158" w:lineRule="exact"/>
        <w:rPr>
          <w:sz w:val="20"/>
          <w:szCs w:val="20"/>
          <w:color w:val="auto"/>
        </w:rPr>
      </w:pPr>
    </w:p>
    <w:p>
      <w:pPr>
        <w:jc w:val="both"/>
        <w:ind w:left="200" w:right="219" w:firstLine="667"/>
        <w:spacing w:after="0" w:line="245" w:lineRule="auto"/>
        <w:rPr>
          <w:sz w:val="20"/>
          <w:szCs w:val="20"/>
          <w:color w:val="auto"/>
        </w:rPr>
      </w:pPr>
      <w:r>
        <w:rPr>
          <w:rFonts w:ascii="Times New Roman" w:cs="Times New Roman" w:eastAsia="Times New Roman" w:hAnsi="Times New Roman"/>
          <w:sz w:val="22"/>
          <w:szCs w:val="22"/>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August 21, 2023, August 26, 2024 and October 3, 2024 (the “Resolutions”) and the written consent of the Sole Director of Waste Management Holdings, Inc. on October 3, 2024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$1,250,000,000.</w:t>
      </w:r>
    </w:p>
    <w:p>
      <w:pPr>
        <w:spacing w:after="0" w:line="191" w:lineRule="exact"/>
        <w:rPr>
          <w:sz w:val="20"/>
          <w:szCs w:val="20"/>
          <w:color w:val="auto"/>
        </w:rPr>
      </w:pPr>
    </w:p>
    <w:p>
      <w:pPr>
        <w:ind w:left="1500" w:hanging="643"/>
        <w:spacing w:after="0"/>
        <w:tabs>
          <w:tab w:leader="none" w:pos="150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w:t>
      </w:r>
    </w:p>
    <w:p>
      <w:pPr>
        <w:spacing w:after="0" w:line="224"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Prior to the Par Call Date, the Company may redeem the Securities at its option, in whole or in part, at any time and from time to time, at a Redemption Price (expressed as a percentage of principal amount and rounded to three decimal places) equal to the greater of:</w:t>
      </w:r>
    </w:p>
    <w:p>
      <w:pPr>
        <w:spacing w:after="0" w:line="173" w:lineRule="exact"/>
        <w:rPr>
          <w:sz w:val="20"/>
          <w:szCs w:val="20"/>
          <w:color w:val="auto"/>
        </w:rPr>
      </w:pPr>
    </w:p>
    <w:p>
      <w:pPr>
        <w:jc w:val="both"/>
        <w:ind w:left="860" w:right="219" w:firstLine="15"/>
        <w:spacing w:after="0" w:line="253" w:lineRule="auto"/>
        <w:tabs>
          <w:tab w:leader="none" w:pos="1192"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15 basis points, less (b) interest accrued to the Redemption Date, and</w:t>
      </w:r>
    </w:p>
    <w:p>
      <w:pPr>
        <w:spacing w:after="0" w:line="178" w:lineRule="exact"/>
        <w:rPr>
          <w:rFonts w:ascii="Times New Roman" w:cs="Times New Roman" w:eastAsia="Times New Roman" w:hAnsi="Times New Roman"/>
          <w:sz w:val="22"/>
          <w:szCs w:val="22"/>
          <w:color w:val="auto"/>
        </w:rPr>
      </w:pPr>
    </w:p>
    <w:p>
      <w:pPr>
        <w:ind w:left="1180" w:hanging="305"/>
        <w:spacing w:after="0"/>
        <w:tabs>
          <w:tab w:leader="none" w:pos="118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Securities to be redeemed,</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636905</wp:posOffset>
            </wp:positionV>
            <wp:extent cx="545211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46" w:name="page247"/>
    <w:bookmarkEnd w:id="246"/>
    <w:p>
      <w:pPr>
        <w:jc w:val="both"/>
        <w:ind w:left="200" w:right="219" w:firstLine="667"/>
        <w:spacing w:after="0" w:line="256" w:lineRule="auto"/>
        <w:rPr>
          <w:sz w:val="20"/>
          <w:szCs w:val="20"/>
          <w:color w:val="auto"/>
        </w:rPr>
      </w:pPr>
      <w:r>
        <w:rPr>
          <w:rFonts w:ascii="Times New Roman" w:cs="Times New Roman" w:eastAsia="Times New Roman" w:hAnsi="Times New Roman"/>
          <w:sz w:val="22"/>
          <w:szCs w:val="22"/>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“Par Call Date” means April 15, 2054.</w:t>
      </w:r>
    </w:p>
    <w:p>
      <w:pPr>
        <w:spacing w:after="0" w:line="220"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“Treasury Rate” means, with respect to any Redemption Date, the yield determined by the Company in accordance with the following two paragraphs.</w:t>
      </w:r>
    </w:p>
    <w:p>
      <w:pPr>
        <w:spacing w:after="0" w:line="158"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1"/>
          <w:szCs w:val="21"/>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4"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1"/>
          <w:szCs w:val="21"/>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474345</wp:posOffset>
            </wp:positionV>
            <wp:extent cx="545211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47" w:name="page248"/>
    <w:bookmarkEnd w:id="247"/>
    <w:p>
      <w:pPr>
        <w:jc w:val="both"/>
        <w:ind w:left="200" w:right="219"/>
        <w:spacing w:after="0" w:line="263" w:lineRule="auto"/>
        <w:rPr>
          <w:sz w:val="20"/>
          <w:szCs w:val="20"/>
          <w:color w:val="auto"/>
        </w:rPr>
      </w:pPr>
      <w:r>
        <w:rPr>
          <w:rFonts w:ascii="Times New Roman" w:cs="Times New Roman" w:eastAsia="Times New Roman" w:hAnsi="Times New Roman"/>
          <w:sz w:val="22"/>
          <w:szCs w:val="22"/>
          <w:color w:val="auto"/>
        </w:rPr>
        <w:t>security shall be based upon the average of the bid and asked prices (expressed as a percentage of principal amount) at 11:00 a.m., New York City time, of such United States Treasury security, and rounded to three decimal places.</w:t>
      </w:r>
    </w:p>
    <w:p>
      <w:pPr>
        <w:spacing w:after="0" w:line="167" w:lineRule="exact"/>
        <w:rPr>
          <w:sz w:val="20"/>
          <w:szCs w:val="20"/>
          <w:color w:val="auto"/>
        </w:rPr>
      </w:pPr>
    </w:p>
    <w:p>
      <w:pPr>
        <w:jc w:val="both"/>
        <w:ind w:left="200" w:right="219" w:firstLine="667"/>
        <w:spacing w:after="0" w:line="250" w:lineRule="auto"/>
        <w:rPr>
          <w:sz w:val="20"/>
          <w:szCs w:val="20"/>
          <w:color w:val="auto"/>
        </w:rPr>
      </w:pPr>
      <w:r>
        <w:rPr>
          <w:rFonts w:ascii="Times New Roman" w:cs="Times New Roman" w:eastAsia="Times New Roman" w:hAnsi="Times New Roman"/>
          <w:sz w:val="22"/>
          <w:szCs w:val="22"/>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81"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1"/>
          <w:szCs w:val="21"/>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73"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Except as set forth above, the Securities will not be redeemable prior to their Stated Maturity and will not be entitled to the benefit of any sinking fund.</w:t>
      </w:r>
    </w:p>
    <w:p>
      <w:pPr>
        <w:spacing w:after="0" w:line="158"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The Securities may be redeemed in part in a minimum principal amount of $2,000, or any integral multiple of $1,000 in excess thereof.</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Any such redemption will also comply with Article Eleven of the Indenture.</w:t>
      </w:r>
    </w:p>
    <w:p>
      <w:pPr>
        <w:spacing w:after="0" w:line="216" w:lineRule="exact"/>
        <w:rPr>
          <w:sz w:val="20"/>
          <w:szCs w:val="20"/>
          <w:color w:val="auto"/>
        </w:rPr>
      </w:pPr>
    </w:p>
    <w:p>
      <w:pPr>
        <w:ind w:left="1500" w:hanging="643"/>
        <w:spacing w:after="0"/>
        <w:tabs>
          <w:tab w:leader="none" w:pos="150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of Control Offer.</w:t>
      </w:r>
    </w:p>
    <w:p>
      <w:pPr>
        <w:spacing w:after="0" w:line="22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239" w:lineRule="exact"/>
        <w:rPr>
          <w:sz w:val="20"/>
          <w:szCs w:val="20"/>
          <w:color w:val="auto"/>
        </w:rPr>
      </w:pPr>
    </w:p>
    <w:p>
      <w:pPr>
        <w:jc w:val="both"/>
        <w:ind w:left="200" w:right="239" w:firstLine="648"/>
        <w:spacing w:after="0" w:line="271" w:lineRule="auto"/>
        <w:rPr>
          <w:sz w:val="20"/>
          <w:szCs w:val="20"/>
          <w:color w:val="auto"/>
        </w:rPr>
      </w:pPr>
      <w:r>
        <w:rPr>
          <w:rFonts w:ascii="Times New Roman" w:cs="Times New Roman" w:eastAsia="Times New Roman" w:hAnsi="Times New Roman"/>
          <w:sz w:val="22"/>
          <w:szCs w:val="22"/>
          <w:color w:val="auto"/>
        </w:rPr>
        <w:t>Within 30 days following any Change of Control Triggering Event or, at the Company’s option, prior to any Change of Control, but after public announcement of the transaction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48" w:name="page249"/>
    <w:bookmarkEnd w:id="248"/>
    <w:p>
      <w:pPr>
        <w:jc w:val="both"/>
        <w:ind w:left="200" w:right="219"/>
        <w:spacing w:after="0" w:line="249" w:lineRule="auto"/>
        <w:rPr>
          <w:sz w:val="20"/>
          <w:szCs w:val="20"/>
          <w:color w:val="auto"/>
        </w:rPr>
      </w:pPr>
      <w:r>
        <w:rPr>
          <w:rFonts w:ascii="Times New Roman" w:cs="Times New Roman" w:eastAsia="Times New Roman" w:hAnsi="Times New Roman"/>
          <w:sz w:val="22"/>
          <w:szCs w:val="22"/>
          <w:color w:val="auto"/>
        </w:rPr>
        <w:t>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Upon the Change of Control Payment Date, the Company shall, to the extent lawful:</w:t>
      </w:r>
    </w:p>
    <w:p>
      <w:pPr>
        <w:spacing w:after="0" w:line="287" w:lineRule="exact"/>
        <w:rPr>
          <w:sz w:val="20"/>
          <w:szCs w:val="20"/>
          <w:color w:val="auto"/>
        </w:rPr>
      </w:pPr>
    </w:p>
    <w:p>
      <w:pPr>
        <w:ind w:left="1500" w:right="219" w:hanging="643"/>
        <w:spacing w:after="0" w:line="271" w:lineRule="auto"/>
        <w:tabs>
          <w:tab w:leader="none" w:pos="117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accept for payment all Securities or portions of Securities properly tendered and not withdrawn pursuant to the Change of Control Offer;</w:t>
      </w:r>
    </w:p>
    <w:p>
      <w:pPr>
        <w:spacing w:after="0" w:line="157" w:lineRule="exact"/>
        <w:rPr>
          <w:rFonts w:ascii="Times New Roman" w:cs="Times New Roman" w:eastAsia="Times New Roman" w:hAnsi="Times New Roman"/>
          <w:sz w:val="18"/>
          <w:szCs w:val="18"/>
          <w:color w:val="auto"/>
        </w:rPr>
      </w:pPr>
    </w:p>
    <w:p>
      <w:pPr>
        <w:ind w:left="1500" w:right="219" w:hanging="643"/>
        <w:spacing w:after="0" w:line="271" w:lineRule="auto"/>
        <w:tabs>
          <w:tab w:leader="none" w:pos="117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deposit with the Paying Agent an amount equal to the Change of Control Payment in respect of all Securities or portions of Securities properly tendered; and</w:t>
      </w:r>
    </w:p>
    <w:p>
      <w:pPr>
        <w:spacing w:after="0" w:line="157" w:lineRule="exact"/>
        <w:rPr>
          <w:rFonts w:ascii="Times New Roman" w:cs="Times New Roman" w:eastAsia="Times New Roman" w:hAnsi="Times New Roman"/>
          <w:sz w:val="18"/>
          <w:szCs w:val="18"/>
          <w:color w:val="auto"/>
        </w:rPr>
      </w:pPr>
    </w:p>
    <w:p>
      <w:pPr>
        <w:ind w:left="1500" w:right="219" w:hanging="643"/>
        <w:spacing w:after="0" w:line="257" w:lineRule="auto"/>
        <w:tabs>
          <w:tab w:leader="none" w:pos="117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3"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249"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239"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For purposes of the Change of Control Offer provisions of the Securities, the following terms are applicable:</w:t>
      </w:r>
    </w:p>
    <w:p>
      <w:pPr>
        <w:spacing w:after="0" w:line="225" w:lineRule="exact"/>
        <w:rPr>
          <w:sz w:val="20"/>
          <w:szCs w:val="20"/>
          <w:color w:val="auto"/>
        </w:rPr>
      </w:pPr>
    </w:p>
    <w:p>
      <w:pPr>
        <w:jc w:val="both"/>
        <w:ind w:left="200" w:right="219" w:firstLine="667"/>
        <w:spacing w:after="0" w:line="263" w:lineRule="auto"/>
        <w:rPr>
          <w:sz w:val="20"/>
          <w:szCs w:val="20"/>
          <w:color w:val="auto"/>
        </w:rPr>
      </w:pPr>
      <w:r>
        <w:rPr>
          <w:rFonts w:ascii="Times New Roman" w:cs="Times New Roman" w:eastAsia="Times New Roman" w:hAnsi="Times New Roman"/>
          <w:sz w:val="21"/>
          <w:szCs w:val="21"/>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466725</wp:posOffset>
            </wp:positionV>
            <wp:extent cx="5452110"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49" w:name="page250"/>
    <w:bookmarkEnd w:id="249"/>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93"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1" w:lineRule="exact"/>
        <w:rPr>
          <w:sz w:val="20"/>
          <w:szCs w:val="20"/>
          <w:color w:val="auto"/>
        </w:rPr>
      </w:pPr>
    </w:p>
    <w:p>
      <w:pPr>
        <w:jc w:val="both"/>
        <w:ind w:left="200" w:right="239" w:firstLine="667"/>
        <w:spacing w:after="0" w:line="271" w:lineRule="auto"/>
        <w:rPr>
          <w:sz w:val="20"/>
          <w:szCs w:val="20"/>
          <w:color w:val="auto"/>
        </w:rPr>
      </w:pPr>
      <w:r>
        <w:rPr>
          <w:rFonts w:ascii="Times New Roman" w:cs="Times New Roman" w:eastAsia="Times New Roman" w:hAnsi="Times New Roman"/>
          <w:sz w:val="22"/>
          <w:szCs w:val="22"/>
          <w:color w:val="auto"/>
        </w:rPr>
        <w:t>“Change of Control Triggering Event” means the occurrence of both a Change of Control and a Rating Event.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“Fitch” means Fitch Inc. and its successors.</w:t>
      </w:r>
    </w:p>
    <w:p>
      <w:pPr>
        <w:spacing w:after="0" w:line="220"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“Moody’s” means Moody’s Investors Service, Inc. and its successors.</w:t>
      </w:r>
    </w:p>
    <w:p>
      <w:pPr>
        <w:spacing w:after="0" w:line="220" w:lineRule="exact"/>
        <w:rPr>
          <w:sz w:val="20"/>
          <w:szCs w:val="20"/>
          <w:color w:val="auto"/>
        </w:rPr>
      </w:pPr>
    </w:p>
    <w:p>
      <w:pPr>
        <w:jc w:val="both"/>
        <w:ind w:left="200" w:right="219" w:firstLine="667"/>
        <w:spacing w:after="0" w:line="251" w:lineRule="auto"/>
        <w:rPr>
          <w:sz w:val="20"/>
          <w:szCs w:val="20"/>
          <w:color w:val="auto"/>
        </w:rPr>
      </w:pPr>
      <w:r>
        <w:rPr>
          <w:rFonts w:ascii="Times New Roman" w:cs="Times New Roman" w:eastAsia="Times New Roman" w:hAnsi="Times New Roman"/>
          <w:sz w:val="22"/>
          <w:szCs w:val="22"/>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81" w:lineRule="exact"/>
        <w:rPr>
          <w:sz w:val="20"/>
          <w:szCs w:val="20"/>
          <w:color w:val="auto"/>
        </w:rPr>
      </w:pPr>
    </w:p>
    <w:p>
      <w:pPr>
        <w:jc w:val="both"/>
        <w:ind w:left="200" w:right="219" w:firstLine="667"/>
        <w:spacing w:after="0" w:line="268" w:lineRule="auto"/>
        <w:rPr>
          <w:sz w:val="20"/>
          <w:szCs w:val="20"/>
          <w:color w:val="auto"/>
        </w:rPr>
      </w:pPr>
      <w:r>
        <w:rPr>
          <w:rFonts w:ascii="Times New Roman" w:cs="Times New Roman" w:eastAsia="Times New Roman" w:hAnsi="Times New Roman"/>
          <w:sz w:val="21"/>
          <w:szCs w:val="21"/>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464185</wp:posOffset>
            </wp:positionV>
            <wp:extent cx="545211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50" w:name="page251"/>
    <w:bookmarkEnd w:id="250"/>
    <w:p>
      <w:pPr>
        <w:jc w:val="both"/>
        <w:ind w:left="200" w:right="219"/>
        <w:spacing w:after="0" w:line="263" w:lineRule="auto"/>
        <w:rPr>
          <w:sz w:val="20"/>
          <w:szCs w:val="20"/>
          <w:color w:val="auto"/>
        </w:rPr>
      </w:pPr>
      <w:r>
        <w:rPr>
          <w:rFonts w:ascii="Times New Roman" w:cs="Times New Roman" w:eastAsia="Times New Roman" w:hAnsi="Times New Roman"/>
          <w:sz w:val="22"/>
          <w:szCs w:val="22"/>
          <w:color w:val="auto"/>
        </w:rPr>
        <w:t>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“S&amp;P” means S&amp;P Global Ratings, a division of S&amp;P Global Inc., and its successors.</w:t>
      </w:r>
    </w:p>
    <w:p>
      <w:pPr>
        <w:spacing w:after="0" w:line="220"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9" w:lineRule="exact"/>
        <w:rPr>
          <w:sz w:val="20"/>
          <w:szCs w:val="20"/>
          <w:color w:val="auto"/>
        </w:rPr>
      </w:pPr>
    </w:p>
    <w:p>
      <w:pPr>
        <w:ind w:left="1500" w:hanging="643"/>
        <w:spacing w:after="0"/>
        <w:tabs>
          <w:tab w:leader="none" w:pos="150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Denominations; Transfer; Exchange.</w:t>
      </w:r>
    </w:p>
    <w:p>
      <w:pPr>
        <w:spacing w:after="0" w:line="224" w:lineRule="exact"/>
        <w:rPr>
          <w:sz w:val="20"/>
          <w:szCs w:val="20"/>
          <w:color w:val="auto"/>
        </w:rPr>
      </w:pPr>
    </w:p>
    <w:p>
      <w:pPr>
        <w:jc w:val="both"/>
        <w:ind w:left="200" w:right="219" w:firstLine="667"/>
        <w:spacing w:after="0" w:line="250" w:lineRule="auto"/>
        <w:rPr>
          <w:sz w:val="20"/>
          <w:szCs w:val="20"/>
          <w:color w:val="auto"/>
        </w:rPr>
      </w:pPr>
      <w:r>
        <w:rPr>
          <w:rFonts w:ascii="Times New Roman" w:cs="Times New Roman" w:eastAsia="Times New Roman" w:hAnsi="Times New Roman"/>
          <w:sz w:val="22"/>
          <w:szCs w:val="22"/>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77" w:lineRule="exact"/>
        <w:rPr>
          <w:sz w:val="20"/>
          <w:szCs w:val="20"/>
          <w:color w:val="auto"/>
        </w:rPr>
      </w:pPr>
    </w:p>
    <w:p>
      <w:pPr>
        <w:ind w:left="1500" w:hanging="643"/>
        <w:spacing w:after="0"/>
        <w:tabs>
          <w:tab w:leader="none" w:pos="150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Person Deemed Owners.</w:t>
      </w:r>
    </w:p>
    <w:p>
      <w:pPr>
        <w:spacing w:after="0" w:line="2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registered Holder of a Security may be treated as the owner of it for all purposes.</w:t>
      </w:r>
    </w:p>
    <w:p>
      <w:pPr>
        <w:spacing w:after="0" w:line="216" w:lineRule="exact"/>
        <w:rPr>
          <w:sz w:val="20"/>
          <w:szCs w:val="20"/>
          <w:color w:val="auto"/>
        </w:rPr>
      </w:pPr>
    </w:p>
    <w:p>
      <w:pPr>
        <w:ind w:left="1500" w:hanging="643"/>
        <w:spacing w:after="0"/>
        <w:tabs>
          <w:tab w:leader="none" w:pos="150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 Supplement; Waiver.</w:t>
      </w:r>
    </w:p>
    <w:p>
      <w:pPr>
        <w:spacing w:after="0" w:line="224"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1" w:lineRule="exact"/>
        <w:rPr>
          <w:sz w:val="20"/>
          <w:szCs w:val="20"/>
          <w:color w:val="auto"/>
        </w:rPr>
      </w:pPr>
    </w:p>
    <w:p>
      <w:pPr>
        <w:ind w:left="1500" w:hanging="643"/>
        <w:spacing w:after="0"/>
        <w:tabs>
          <w:tab w:leader="none" w:pos="150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Defaults and Remedies.</w:t>
      </w:r>
    </w:p>
    <w:p>
      <w:pPr>
        <w:spacing w:after="0" w:line="224" w:lineRule="exact"/>
        <w:rPr>
          <w:sz w:val="20"/>
          <w:szCs w:val="20"/>
          <w:color w:val="auto"/>
        </w:rPr>
      </w:pPr>
    </w:p>
    <w:p>
      <w:pPr>
        <w:jc w:val="both"/>
        <w:ind w:left="200" w:right="219" w:firstLine="667"/>
        <w:spacing w:after="0" w:line="260" w:lineRule="auto"/>
        <w:rPr>
          <w:sz w:val="20"/>
          <w:szCs w:val="20"/>
          <w:color w:val="auto"/>
        </w:rPr>
      </w:pPr>
      <w:r>
        <w:rPr>
          <w:rFonts w:ascii="Times New Roman" w:cs="Times New Roman" w:eastAsia="Times New Roman" w:hAnsi="Times New Roman"/>
          <w:sz w:val="21"/>
          <w:szCs w:val="21"/>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473710</wp:posOffset>
            </wp:positionV>
            <wp:extent cx="545211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51" w:name="page252"/>
    <w:bookmarkEnd w:id="251"/>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189" w:lineRule="exact"/>
        <w:rPr>
          <w:sz w:val="20"/>
          <w:szCs w:val="20"/>
          <w:color w:val="auto"/>
        </w:rPr>
      </w:pPr>
    </w:p>
    <w:p>
      <w:pPr>
        <w:ind w:left="1500" w:hanging="643"/>
        <w:spacing w:after="0"/>
        <w:tabs>
          <w:tab w:leader="none" w:pos="150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Trustee Dealings with Company.</w:t>
      </w:r>
    </w:p>
    <w:p>
      <w:pPr>
        <w:spacing w:after="0" w:line="224"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75" w:lineRule="exact"/>
        <w:rPr>
          <w:sz w:val="20"/>
          <w:szCs w:val="20"/>
          <w:color w:val="auto"/>
        </w:rPr>
      </w:pPr>
    </w:p>
    <w:p>
      <w:pPr>
        <w:ind w:left="1500" w:hanging="643"/>
        <w:spacing w:after="0"/>
        <w:tabs>
          <w:tab w:leader="none" w:pos="150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Authentication.</w:t>
      </w:r>
    </w:p>
    <w:p>
      <w:pPr>
        <w:spacing w:after="0" w:line="224"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Security shall not be valid until the Trustee or authenticating agent signs the certificate of authentication on the other side of this Security.</w:t>
      </w:r>
    </w:p>
    <w:p>
      <w:pPr>
        <w:spacing w:after="0" w:line="154" w:lineRule="exact"/>
        <w:rPr>
          <w:sz w:val="20"/>
          <w:szCs w:val="20"/>
          <w:color w:val="auto"/>
        </w:rPr>
      </w:pPr>
    </w:p>
    <w:p>
      <w:pPr>
        <w:ind w:left="1500" w:hanging="643"/>
        <w:spacing w:after="0"/>
        <w:tabs>
          <w:tab w:leader="none" w:pos="150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Abbreviations and Defined Terms.</w:t>
      </w:r>
    </w:p>
    <w:p>
      <w:pPr>
        <w:spacing w:after="0" w:line="224"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5" w:lineRule="exact"/>
        <w:rPr>
          <w:sz w:val="20"/>
          <w:szCs w:val="20"/>
          <w:color w:val="auto"/>
        </w:rPr>
      </w:pPr>
    </w:p>
    <w:p>
      <w:pPr>
        <w:ind w:left="1500" w:hanging="643"/>
        <w:spacing w:after="0"/>
        <w:tabs>
          <w:tab w:leader="none" w:pos="150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CUSIP Numbers.</w:t>
      </w:r>
    </w:p>
    <w:p>
      <w:pPr>
        <w:spacing w:after="0" w:line="224" w:lineRule="exact"/>
        <w:rPr>
          <w:sz w:val="20"/>
          <w:szCs w:val="20"/>
          <w:color w:val="auto"/>
        </w:rPr>
      </w:pPr>
    </w:p>
    <w:p>
      <w:pPr>
        <w:jc w:val="both"/>
        <w:ind w:left="200" w:right="219" w:firstLine="667"/>
        <w:spacing w:after="0" w:line="250" w:lineRule="auto"/>
        <w:rPr>
          <w:sz w:val="20"/>
          <w:szCs w:val="20"/>
          <w:color w:val="auto"/>
        </w:rPr>
      </w:pPr>
      <w:r>
        <w:rPr>
          <w:rFonts w:ascii="Times New Roman" w:cs="Times New Roman" w:eastAsia="Times New Roman" w:hAnsi="Times New Roman"/>
          <w:sz w:val="22"/>
          <w:szCs w:val="22"/>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7" w:lineRule="exact"/>
        <w:rPr>
          <w:sz w:val="20"/>
          <w:szCs w:val="20"/>
          <w:color w:val="auto"/>
        </w:rPr>
      </w:pPr>
    </w:p>
    <w:p>
      <w:pPr>
        <w:ind w:left="1500" w:hanging="643"/>
        <w:spacing w:after="0"/>
        <w:tabs>
          <w:tab w:leader="none" w:pos="150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Absolute Obligation.</w:t>
      </w:r>
    </w:p>
    <w:p>
      <w:pPr>
        <w:spacing w:after="0" w:line="224" w:lineRule="exact"/>
        <w:rPr>
          <w:sz w:val="20"/>
          <w:szCs w:val="20"/>
          <w:color w:val="auto"/>
        </w:rPr>
      </w:pPr>
    </w:p>
    <w:p>
      <w:pPr>
        <w:jc w:val="both"/>
        <w:ind w:left="200" w:right="219" w:firstLine="667"/>
        <w:spacing w:after="0" w:line="256" w:lineRule="auto"/>
        <w:rPr>
          <w:sz w:val="20"/>
          <w:szCs w:val="20"/>
          <w:color w:val="auto"/>
        </w:rPr>
      </w:pPr>
      <w:r>
        <w:rPr>
          <w:rFonts w:ascii="Times New Roman" w:cs="Times New Roman" w:eastAsia="Times New Roman" w:hAnsi="Times New Roman"/>
          <w:sz w:val="22"/>
          <w:szCs w:val="22"/>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609600</wp:posOffset>
            </wp:positionV>
            <wp:extent cx="545211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52" w:name="page253"/>
    <w:bookmarkEnd w:id="252"/>
    <w:p>
      <w:pPr>
        <w:ind w:left="1500" w:hanging="643"/>
        <w:spacing w:after="0"/>
        <w:tabs>
          <w:tab w:leader="none" w:pos="150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Recourse.</w:t>
      </w:r>
    </w:p>
    <w:p>
      <w:pPr>
        <w:spacing w:after="0" w:line="224" w:lineRule="exact"/>
        <w:rPr>
          <w:sz w:val="20"/>
          <w:szCs w:val="20"/>
          <w:color w:val="auto"/>
        </w:rPr>
      </w:pPr>
    </w:p>
    <w:p>
      <w:pPr>
        <w:jc w:val="both"/>
        <w:ind w:left="200" w:right="219" w:firstLine="667"/>
        <w:spacing w:after="0" w:line="249" w:lineRule="auto"/>
        <w:rPr>
          <w:sz w:val="20"/>
          <w:szCs w:val="20"/>
          <w:color w:val="auto"/>
        </w:rPr>
      </w:pPr>
      <w:r>
        <w:rPr>
          <w:rFonts w:ascii="Times New Roman" w:cs="Times New Roman" w:eastAsia="Times New Roman" w:hAnsi="Times New Roman"/>
          <w:sz w:val="22"/>
          <w:szCs w:val="22"/>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78" w:lineRule="exact"/>
        <w:rPr>
          <w:sz w:val="20"/>
          <w:szCs w:val="20"/>
          <w:color w:val="auto"/>
        </w:rPr>
      </w:pPr>
    </w:p>
    <w:p>
      <w:pPr>
        <w:ind w:left="1500" w:hanging="643"/>
        <w:spacing w:after="0"/>
        <w:tabs>
          <w:tab w:leader="none" w:pos="150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w:t>
      </w:r>
    </w:p>
    <w:p>
      <w:pPr>
        <w:spacing w:after="0" w:line="224"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Security shall be construed in accordance with and governed by the laws of the State of New York.</w:t>
      </w:r>
    </w:p>
    <w:p>
      <w:pPr>
        <w:spacing w:after="0" w:line="154" w:lineRule="exact"/>
        <w:rPr>
          <w:sz w:val="20"/>
          <w:szCs w:val="20"/>
          <w:color w:val="auto"/>
        </w:rPr>
      </w:pPr>
    </w:p>
    <w:p>
      <w:pPr>
        <w:ind w:left="1500" w:hanging="643"/>
        <w:spacing w:after="0"/>
        <w:tabs>
          <w:tab w:leader="none" w:pos="150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Guarantee.</w:t>
      </w:r>
    </w:p>
    <w:p>
      <w:pPr>
        <w:spacing w:after="0" w:line="224" w:lineRule="exact"/>
        <w:rPr>
          <w:sz w:val="20"/>
          <w:szCs w:val="20"/>
          <w:color w:val="auto"/>
        </w:rPr>
      </w:pPr>
    </w:p>
    <w:p>
      <w:pPr>
        <w:jc w:val="both"/>
        <w:ind w:left="200" w:right="219" w:firstLine="667"/>
        <w:spacing w:after="0" w:line="248" w:lineRule="auto"/>
        <w:rPr>
          <w:sz w:val="20"/>
          <w:szCs w:val="20"/>
          <w:color w:val="auto"/>
        </w:rPr>
      </w:pPr>
      <w:r>
        <w:rPr>
          <w:rFonts w:ascii="Times New Roman" w:cs="Times New Roman" w:eastAsia="Times New Roman" w:hAnsi="Times New Roman"/>
          <w:sz w:val="22"/>
          <w:szCs w:val="22"/>
          <w:color w:val="auto"/>
        </w:rPr>
        <w:t>The Securities will be fully and unconditionally guaranteed on a senior basis by the Company’s wholly owned subsidiary, Waste Management Holdings, Inc., pursuant to the terms and conditions of a Guarantee, dated as of November 4,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8" w:lineRule="exact"/>
        <w:rPr>
          <w:sz w:val="20"/>
          <w:szCs w:val="20"/>
          <w:color w:val="auto"/>
        </w:rPr>
      </w:pPr>
    </w:p>
    <w:p>
      <w:pPr>
        <w:ind w:left="1500" w:hanging="625"/>
        <w:spacing w:after="0"/>
        <w:tabs>
          <w:tab w:leader="none" w:pos="150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Satisfaction and Discharge.</w:t>
      </w:r>
    </w:p>
    <w:p>
      <w:pPr>
        <w:spacing w:after="0" w:line="224"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The Securities will be subject to Section 401 of the Indenture; provided, however, that solely with respect to the Securities, Section 401(1)(B) of the Indenture shall be deleted in its entirety and replaced with the following:</w:t>
      </w:r>
    </w:p>
    <w:p>
      <w:pPr>
        <w:spacing w:after="0" w:line="173" w:lineRule="exact"/>
        <w:rPr>
          <w:sz w:val="20"/>
          <w:szCs w:val="20"/>
          <w:color w:val="auto"/>
        </w:rPr>
      </w:pPr>
    </w:p>
    <w:p>
      <w:pPr>
        <w:ind w:left="860" w:right="239" w:firstLine="19"/>
        <w:spacing w:after="0" w:line="271" w:lineRule="auto"/>
        <w:rPr>
          <w:sz w:val="20"/>
          <w:szCs w:val="20"/>
          <w:color w:val="auto"/>
        </w:rPr>
      </w:pPr>
      <w:r>
        <w:rPr>
          <w:rFonts w:ascii="Times New Roman" w:cs="Times New Roman" w:eastAsia="Times New Roman" w:hAnsi="Times New Roman"/>
          <w:sz w:val="22"/>
          <w:szCs w:val="22"/>
          <w:color w:val="auto"/>
        </w:rPr>
        <w:t>“(B) all such Securities and, in the case of (i) or (ii) below, any coupons appertaining thereto not theretofore delivered to the Trustee for cancellation</w:t>
      </w:r>
    </w:p>
    <w:p>
      <w:pPr>
        <w:spacing w:after="0" w:line="158" w:lineRule="exact"/>
        <w:rPr>
          <w:sz w:val="20"/>
          <w:szCs w:val="20"/>
          <w:color w:val="auto"/>
        </w:rPr>
      </w:pPr>
    </w:p>
    <w:p>
      <w:pPr>
        <w:ind w:left="2800" w:hanging="647"/>
        <w:spacing w:after="0"/>
        <w:tabs>
          <w:tab w:leader="none" w:pos="280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become due and payable, or</w:t>
      </w:r>
    </w:p>
    <w:p>
      <w:pPr>
        <w:spacing w:after="0" w:line="219" w:lineRule="exact"/>
        <w:rPr>
          <w:rFonts w:ascii="Times New Roman" w:cs="Times New Roman" w:eastAsia="Times New Roman" w:hAnsi="Times New Roman"/>
          <w:sz w:val="22"/>
          <w:szCs w:val="22"/>
          <w:color w:val="auto"/>
        </w:rPr>
      </w:pPr>
    </w:p>
    <w:p>
      <w:pPr>
        <w:ind w:left="4740" w:hanging="643"/>
        <w:spacing w:after="0"/>
        <w:tabs>
          <w:tab w:leader="none" w:pos="4740"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become due and payable at their Stated</w:t>
      </w:r>
    </w:p>
    <w:p>
      <w:pPr>
        <w:spacing w:after="0" w:line="27" w:lineRule="exact"/>
        <w:rPr>
          <w:rFonts w:ascii="Times New Roman" w:cs="Times New Roman" w:eastAsia="Times New Roman" w:hAnsi="Times New Roman"/>
          <w:sz w:val="22"/>
          <w:szCs w:val="22"/>
          <w:color w:val="auto"/>
        </w:rPr>
      </w:pPr>
    </w:p>
    <w:p>
      <w:pPr>
        <w:ind w:left="2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Maturity within one year, or</w:t>
      </w:r>
    </w:p>
    <w:p>
      <w:pPr>
        <w:spacing w:after="0" w:line="195" w:lineRule="exact"/>
        <w:rPr>
          <w:rFonts w:ascii="Times New Roman" w:cs="Times New Roman" w:eastAsia="Times New Roman" w:hAnsi="Times New Roman"/>
          <w:sz w:val="22"/>
          <w:szCs w:val="22"/>
          <w:color w:val="auto"/>
        </w:rPr>
      </w:pPr>
    </w:p>
    <w:p>
      <w:pPr>
        <w:jc w:val="both"/>
        <w:ind w:left="2160" w:right="219" w:firstLine="1937"/>
        <w:spacing w:after="0" w:line="275" w:lineRule="auto"/>
        <w:tabs>
          <w:tab w:leader="none" w:pos="4752" w:val="left"/>
        </w:tabs>
        <w:numPr>
          <w:ilvl w:val="1"/>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are to be called for redemption within one year under arrangements satisfactory to the Trustee for the giving of notice of redemption by the Trustee in the name, and at the expense, of the Company;</w:t>
      </w:r>
    </w:p>
    <w:p>
      <w:pPr>
        <w:spacing w:after="0" w:line="155" w:lineRule="exact"/>
        <w:rPr>
          <w:sz w:val="20"/>
          <w:szCs w:val="20"/>
          <w:color w:val="auto"/>
        </w:rPr>
      </w:pPr>
    </w:p>
    <w:p>
      <w:pPr>
        <w:jc w:val="both"/>
        <w:ind w:left="200" w:right="219" w:firstLine="667"/>
        <w:spacing w:after="0" w:line="263" w:lineRule="auto"/>
        <w:rPr>
          <w:sz w:val="20"/>
          <w:szCs w:val="20"/>
          <w:color w:val="auto"/>
        </w:rPr>
      </w:pPr>
      <w:r>
        <w:rPr>
          <w:rFonts w:ascii="Times New Roman" w:cs="Times New Roman" w:eastAsia="Times New Roman" w:hAnsi="Times New Roman"/>
          <w:sz w:val="22"/>
          <w:szCs w:val="22"/>
          <w:color w:val="auto"/>
        </w:rPr>
        <w:t>and the Company, in the case of (i), (ii) or (iii) above, has deposited or caused to be deposited with the Trustee as trust funds, U.S. legal tender, U.S. Governmental Obligations or a combination thereof, an amount sufficient to pay and discharge the entire indebtedness on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466725</wp:posOffset>
            </wp:positionV>
            <wp:extent cx="545211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53" w:name="page254"/>
    <w:bookmarkEnd w:id="253"/>
    <w:p>
      <w:pPr>
        <w:jc w:val="both"/>
        <w:ind w:left="200" w:right="219"/>
        <w:spacing w:after="0" w:line="260" w:lineRule="auto"/>
        <w:rPr>
          <w:sz w:val="20"/>
          <w:szCs w:val="20"/>
          <w:color w:val="auto"/>
        </w:rPr>
      </w:pPr>
      <w:r>
        <w:rPr>
          <w:rFonts w:ascii="Times New Roman" w:cs="Times New Roman" w:eastAsia="Times New Roman" w:hAnsi="Times New Roman"/>
          <w:sz w:val="21"/>
          <w:szCs w:val="21"/>
          <w:color w:val="auto"/>
        </w:rPr>
        <w:t>Securities and coupons not theretofore delivered to the Trustee for cancellation, for principal (and premium, if any) and any interest to the date of such deposit (in the case of Securities which have become due and payable) or to the Stated Maturity or Redemption Date, as the case may be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 For purposes of this section, “U.S. Governmental Obligations” means direct non-callable obligations of, or guaranteed by, the United States of America for the payment of which guarantee or obligations the full faith and credit of the United States is pledged.”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1236345</wp:posOffset>
            </wp:positionV>
            <wp:extent cx="545211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54" w:name="page255"/>
    <w:bookmarkEnd w:id="254"/>
    <w:p>
      <w:pPr>
        <w:jc w:val="center"/>
        <w:ind w:right="19"/>
        <w:spacing w:after="0"/>
        <w:rPr>
          <w:sz w:val="20"/>
          <w:szCs w:val="20"/>
          <w:color w:val="auto"/>
        </w:rPr>
      </w:pPr>
      <w:r>
        <w:rPr>
          <w:rFonts w:ascii="Times New Roman" w:cs="Times New Roman" w:eastAsia="Times New Roman" w:hAnsi="Times New Roman"/>
          <w:sz w:val="22"/>
          <w:szCs w:val="22"/>
          <w:color w:val="auto"/>
        </w:rPr>
        <w:t>SCHEDULE OF EXCHANGES OF DEFINITIVE SECURITY</w:t>
      </w:r>
    </w:p>
    <w:p>
      <w:pPr>
        <w:spacing w:after="0" w:line="220" w:lineRule="exact"/>
        <w:rPr>
          <w:sz w:val="20"/>
          <w:szCs w:val="20"/>
          <w:color w:val="auto"/>
        </w:rPr>
      </w:pPr>
    </w:p>
    <w:p>
      <w:pPr>
        <w:ind w:left="200" w:right="219" w:firstLine="667"/>
        <w:spacing w:after="0" w:line="284" w:lineRule="auto"/>
        <w:rPr>
          <w:sz w:val="20"/>
          <w:szCs w:val="20"/>
          <w:color w:val="auto"/>
        </w:rPr>
      </w:pPr>
      <w:r>
        <w:rPr>
          <w:rFonts w:ascii="Times New Roman" w:cs="Times New Roman" w:eastAsia="Times New Roman" w:hAnsi="Times New Roman"/>
          <w:sz w:val="22"/>
          <w:szCs w:val="22"/>
          <w:color w:val="auto"/>
        </w:rPr>
        <w:t>The following exchanges of a part of this Book-Entry Security for definitive Securities have been made:</w:t>
      </w:r>
    </w:p>
    <w:p>
      <w:pPr>
        <w:spacing w:after="0" w:line="200" w:lineRule="exact"/>
        <w:rPr>
          <w:sz w:val="20"/>
          <w:szCs w:val="20"/>
          <w:color w:val="auto"/>
        </w:rPr>
      </w:pPr>
    </w:p>
    <w:p>
      <w:pPr>
        <w:spacing w:after="0" w:line="36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decrease</w:t>
            </w:r>
          </w:p>
        </w:tc>
        <w:tc>
          <w:tcPr>
            <w:tcW w:w="1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increase</w:t>
            </w:r>
          </w:p>
        </w:tc>
        <w:tc>
          <w:tcPr>
            <w:tcW w:w="1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this Book-Entry</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this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 this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following</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 officer</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Book-Entry</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Book-Entry</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such decrease (or</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Trustee or</w:t>
            </w:r>
          </w:p>
        </w:tc>
        <w:tc>
          <w:tcPr>
            <w:tcW w:w="60" w:type="dxa"/>
            <w:vAlign w:val="bottom"/>
          </w:tcPr>
          <w:p>
            <w:pPr>
              <w:spacing w:after="0"/>
              <w:rPr>
                <w:sz w:val="18"/>
                <w:szCs w:val="18"/>
                <w:color w:val="auto"/>
              </w:rPr>
            </w:pPr>
          </w:p>
        </w:tc>
      </w:tr>
      <w:tr>
        <w:trPr>
          <w:trHeight w:val="259"/>
        </w:trPr>
        <w:tc>
          <w:tcPr>
            <w:tcW w:w="80" w:type="dxa"/>
            <w:vAlign w:val="bottom"/>
          </w:tcPr>
          <w:p>
            <w:pPr>
              <w:spacing w:after="0"/>
              <w:rPr>
                <w:sz w:val="22"/>
                <w:szCs w:val="22"/>
                <w:color w:val="auto"/>
              </w:rPr>
            </w:pPr>
          </w:p>
        </w:tc>
        <w:tc>
          <w:tcPr>
            <w:tcW w:w="1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18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80" w:type="dxa"/>
            <w:vAlign w:val="bottom"/>
          </w:tcPr>
          <w:p>
            <w:pPr>
              <w:spacing w:after="0"/>
              <w:rPr>
                <w:sz w:val="22"/>
                <w:szCs w:val="22"/>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Custodian</w:t>
            </w:r>
          </w:p>
        </w:tc>
        <w:tc>
          <w:tcPr>
            <w:tcW w:w="60" w:type="dxa"/>
            <w:vAlign w:val="bottom"/>
            <w:tcBorders>
              <w:bottom w:val="single" w:sz="8" w:color="auto"/>
            </w:tcBorders>
          </w:tcPr>
          <w:p>
            <w:pPr>
              <w:spacing w:after="0"/>
              <w:rPr>
                <w:sz w:val="22"/>
                <w:szCs w:val="22"/>
                <w:color w:val="auto"/>
              </w:rPr>
            </w:pPr>
          </w:p>
        </w:tc>
      </w:tr>
      <w:tr>
        <w:trPr>
          <w:trHeight w:val="1776"/>
        </w:trPr>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255" w:name="page256"/>
    <w:bookmarkEnd w:id="255"/>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4.13</w:t>
      </w:r>
    </w:p>
    <w:p>
      <w:pPr>
        <w:spacing w:after="0" w:line="39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GUARANTEE</w:t>
      </w:r>
    </w:p>
    <w:p>
      <w:pPr>
        <w:spacing w:after="0" w:line="22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BY WASTE MANAGEMENT HOLDINGS, INC.</w:t>
      </w:r>
    </w:p>
    <w:p>
      <w:pPr>
        <w:spacing w:after="0" w:line="22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(formerly known as Waste Management, Inc.)</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in Favor of The Bank of New York Mellon Trust Company, N.A., as Trustee for the Holders</w:t>
      </w:r>
    </w:p>
    <w:p>
      <w:pPr>
        <w:spacing w:after="0" w:line="2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of Certain Debt Securities of</w:t>
      </w:r>
    </w:p>
    <w:p>
      <w:pPr>
        <w:spacing w:after="0" w:line="19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WASTE MANAGEMENT, INC.</w:t>
      </w:r>
    </w:p>
    <w:p>
      <w:pPr>
        <w:spacing w:after="0" w:line="22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$1,000,000,000</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4.500% Senior Notes due 2028</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November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645160</wp:posOffset>
            </wp:positionV>
            <wp:extent cx="545211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56" w:name="page257"/>
    <w:bookmarkEnd w:id="256"/>
    <w:p>
      <w:pPr>
        <w:jc w:val="both"/>
        <w:ind w:left="200" w:right="219" w:firstLine="648"/>
        <w:spacing w:after="0" w:line="265" w:lineRule="auto"/>
        <w:rPr>
          <w:sz w:val="20"/>
          <w:szCs w:val="20"/>
          <w:color w:val="auto"/>
        </w:rPr>
      </w:pPr>
      <w:r>
        <w:rPr>
          <w:rFonts w:ascii="Times New Roman" w:cs="Times New Roman" w:eastAsia="Times New Roman" w:hAnsi="Times New Roman"/>
          <w:sz w:val="21"/>
          <w:szCs w:val="21"/>
          <w:color w:val="auto"/>
        </w:rPr>
        <w:t>GUARANTEE, dated as of November 4, 2024 (as amended from time to time, this “Guarantee”), made by Waste Management Holdings, Inc. (formerly known as Waste Management, Inc.), a Delaware corporation (the “Guarantor”), in favor of The Bank of New York Mellon Trust Company, N.A., as trustee for the holders of the $1,000,000,000 aggregate principal amount of 4.500% Senior Notes due 2028 (the “Debt Securities”) of Waste Management, Inc. (formerly known as USA Waste Services, Inc.), a Delaware corporation (the “Issuer”).</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WITNESSETH:</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500" w:right="219" w:firstLine="5"/>
        <w:spacing w:after="0" w:line="246" w:lineRule="auto"/>
        <w:tabs>
          <w:tab w:leader="none" w:pos="2148"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87" w:lineRule="exact"/>
        <w:rPr>
          <w:rFonts w:ascii="Times New Roman" w:cs="Times New Roman" w:eastAsia="Times New Roman" w:hAnsi="Times New Roman"/>
          <w:sz w:val="22"/>
          <w:szCs w:val="22"/>
          <w:color w:val="auto"/>
        </w:rPr>
      </w:pPr>
    </w:p>
    <w:p>
      <w:pPr>
        <w:jc w:val="both"/>
        <w:ind w:left="1500" w:right="219" w:firstLine="5"/>
        <w:spacing w:after="0" w:line="245" w:lineRule="auto"/>
        <w:tabs>
          <w:tab w:leader="none" w:pos="2148"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95" w:lineRule="exact"/>
        <w:rPr>
          <w:sz w:val="20"/>
          <w:szCs w:val="20"/>
          <w:color w:val="auto"/>
        </w:rPr>
      </w:pPr>
    </w:p>
    <w:p>
      <w:pPr>
        <w:jc w:val="both"/>
        <w:ind w:left="860" w:right="219"/>
        <w:spacing w:after="0" w:line="253"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Guarantee Absolute</w:t>
      </w:r>
      <w:r>
        <w:rPr>
          <w:rFonts w:ascii="Times New Roman" w:cs="Times New Roman" w:eastAsia="Times New Roman" w:hAnsi="Times New Roman"/>
          <w:sz w:val="22"/>
          <w:szCs w:val="22"/>
          <w:color w:val="auto"/>
        </w:rPr>
        <w:t xml:space="preserve">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79" w:lineRule="exact"/>
        <w:rPr>
          <w:sz w:val="20"/>
          <w:szCs w:val="20"/>
          <w:color w:val="auto"/>
        </w:rPr>
      </w:pPr>
    </w:p>
    <w:p>
      <w:pPr>
        <w:ind w:left="1500" w:right="239" w:firstLine="5"/>
        <w:spacing w:after="0" w:line="271" w:lineRule="auto"/>
        <w:tabs>
          <w:tab w:leader="none" w:pos="2148"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the Indenture, the Debt Securities or any other agreement or instrument relating thereto;</w:t>
      </w:r>
    </w:p>
    <w:p>
      <w:pPr>
        <w:spacing w:after="0" w:line="157" w:lineRule="exact"/>
        <w:rPr>
          <w:rFonts w:ascii="Times New Roman" w:cs="Times New Roman" w:eastAsia="Times New Roman" w:hAnsi="Times New Roman"/>
          <w:sz w:val="22"/>
          <w:szCs w:val="22"/>
          <w:color w:val="auto"/>
        </w:rPr>
      </w:pPr>
    </w:p>
    <w:p>
      <w:pPr>
        <w:jc w:val="both"/>
        <w:ind w:left="1500" w:right="219" w:firstLine="5"/>
        <w:spacing w:after="0" w:line="257" w:lineRule="auto"/>
        <w:tabs>
          <w:tab w:leader="none" w:pos="2148"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time, manner or place of payment of, or in any other term of, all or any of the Obligations, or any other amendment or waiver of or any consent to departure from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633095</wp:posOffset>
            </wp:positionV>
            <wp:extent cx="5452110"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57" w:name="page258"/>
    <w:bookmarkEnd w:id="257"/>
    <w:p>
      <w:pPr>
        <w:jc w:val="both"/>
        <w:ind w:left="1500" w:right="219" w:firstLine="5"/>
        <w:spacing w:after="0" w:line="263" w:lineRule="auto"/>
        <w:tabs>
          <w:tab w:leader="none" w:pos="2148"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exchange, release or non-perfection of any collateral, or any release or amendment or waiver of or consent to departure from any other guaranty, for all or any of the Obligations; or</w:t>
      </w:r>
    </w:p>
    <w:p>
      <w:pPr>
        <w:spacing w:after="0" w:line="167" w:lineRule="exact"/>
        <w:rPr>
          <w:rFonts w:ascii="Times New Roman" w:cs="Times New Roman" w:eastAsia="Times New Roman" w:hAnsi="Times New Roman"/>
          <w:sz w:val="22"/>
          <w:szCs w:val="22"/>
          <w:color w:val="auto"/>
        </w:rPr>
      </w:pPr>
    </w:p>
    <w:p>
      <w:pPr>
        <w:ind w:left="1500" w:right="219" w:firstLine="5"/>
        <w:spacing w:after="0" w:line="271" w:lineRule="auto"/>
        <w:tabs>
          <w:tab w:leader="none" w:pos="2148"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 which might otherwise constitute a defense available to, or a discharge of, the Issuer or a guarantor.</w:t>
      </w:r>
    </w:p>
    <w:p>
      <w:pPr>
        <w:spacing w:after="0" w:line="158" w:lineRule="exact"/>
        <w:rPr>
          <w:sz w:val="20"/>
          <w:szCs w:val="20"/>
          <w:color w:val="auto"/>
        </w:rPr>
      </w:pPr>
    </w:p>
    <w:p>
      <w:pPr>
        <w:jc w:val="both"/>
        <w:ind w:left="860" w:right="219"/>
        <w:spacing w:after="0" w:line="250"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Subordination</w:t>
      </w:r>
      <w:r>
        <w:rPr>
          <w:rFonts w:ascii="Times New Roman" w:cs="Times New Roman" w:eastAsia="Times New Roman" w:hAnsi="Times New Roman"/>
          <w:sz w:val="22"/>
          <w:szCs w:val="22"/>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all existing and future senior indebtedness of the Guarantor and (b) senior in right of payment to all existing and future subordinated indebtedness of the Guarantor.</w:t>
      </w:r>
    </w:p>
    <w:p>
      <w:pPr>
        <w:spacing w:after="0" w:line="18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Waiver; Subrogation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500" w:right="219" w:firstLine="5"/>
        <w:spacing w:after="0" w:line="250" w:lineRule="auto"/>
        <w:tabs>
          <w:tab w:leader="none" w:pos="2148"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0" w:lineRule="exact"/>
        <w:rPr>
          <w:rFonts w:ascii="Times New Roman" w:cs="Times New Roman" w:eastAsia="Times New Roman" w:hAnsi="Times New Roman"/>
          <w:sz w:val="22"/>
          <w:szCs w:val="22"/>
          <w:color w:val="auto"/>
        </w:rPr>
      </w:pPr>
    </w:p>
    <w:p>
      <w:pPr>
        <w:jc w:val="both"/>
        <w:ind w:left="1500" w:right="239" w:firstLine="5"/>
        <w:spacing w:after="0" w:line="248" w:lineRule="auto"/>
        <w:tabs>
          <w:tab w:leader="none" w:pos="2148"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7" w:lineRule="exact"/>
        <w:rPr>
          <w:sz w:val="20"/>
          <w:szCs w:val="20"/>
          <w:color w:val="auto"/>
        </w:rPr>
      </w:pPr>
    </w:p>
    <w:p>
      <w:pPr>
        <w:jc w:val="both"/>
        <w:ind w:left="860" w:right="219"/>
        <w:spacing w:after="0" w:line="248"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No Waiver, Remedies</w:t>
      </w:r>
      <w:r>
        <w:rPr>
          <w:rFonts w:ascii="Times New Roman" w:cs="Times New Roman" w:eastAsia="Times New Roman" w:hAnsi="Times New Roman"/>
          <w:sz w:val="22"/>
          <w:szCs w:val="22"/>
          <w:color w:val="auto"/>
        </w:rPr>
        <w:t xml:space="preserve">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87" w:lineRule="exact"/>
        <w:rPr>
          <w:sz w:val="20"/>
          <w:szCs w:val="20"/>
          <w:color w:val="auto"/>
        </w:rPr>
      </w:pPr>
    </w:p>
    <w:p>
      <w:pPr>
        <w:jc w:val="both"/>
        <w:ind w:left="860" w:right="219"/>
        <w:spacing w:after="0" w:line="248"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Continuing Guarantee; Transfer of Interest</w:t>
      </w:r>
      <w:r>
        <w:rPr>
          <w:rFonts w:ascii="Times New Roman" w:cs="Times New Roman" w:eastAsia="Times New Roman" w:hAnsi="Times New Roman"/>
          <w:sz w:val="22"/>
          <w:szCs w:val="22"/>
          <w:color w:val="auto"/>
        </w:rPr>
        <w:t xml:space="preserve">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w:t>
      </w:r>
    </w:p>
    <w:p>
      <w:pPr>
        <w:spacing w:after="0" w:line="1" w:lineRule="exact"/>
        <w:rPr>
          <w:sz w:val="20"/>
          <w:szCs w:val="20"/>
          <w:color w:val="auto"/>
        </w:rPr>
      </w:pPr>
    </w:p>
    <w:p>
      <w:pPr>
        <w:jc w:val="both"/>
        <w:ind w:left="860" w:right="219" w:hanging="3"/>
        <w:spacing w:after="0" w:line="246" w:lineRule="auto"/>
        <w:tabs>
          <w:tab w:leader="none" w:pos="1221"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release by the lenders under each of the Seventh Amended and Restated Revolving Credit Agreement dated as of May 8, 2024 by and among the Issuer, Waste Management of Canada Corporation, WM Quebec Inc., the Guarantor (as guarantor), certain banks party thereto, and Bank of America, N.A., as administrative agent (or under any replacement or new principal credit facility of the Issuer) and the Term Credit Agreement dated as of August 28, 2024 by and among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598805</wp:posOffset>
            </wp:positionV>
            <wp:extent cx="545211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8" w:right="1440" w:bottom="1440" w:gutter="0" w:footer="0" w:header="0"/>
        </w:sectPr>
      </w:pPr>
    </w:p>
    <w:bookmarkStart w:id="258" w:name="page259"/>
    <w:bookmarkEnd w:id="258"/>
    <w:p>
      <w:pPr>
        <w:jc w:val="both"/>
        <w:ind w:left="200" w:right="219"/>
        <w:spacing w:after="0" w:line="274" w:lineRule="auto"/>
        <w:rPr>
          <w:sz w:val="20"/>
          <w:szCs w:val="20"/>
          <w:color w:val="auto"/>
        </w:rPr>
      </w:pPr>
      <w:r>
        <w:rPr>
          <w:rFonts w:ascii="Times New Roman" w:cs="Times New Roman" w:eastAsia="Times New Roman" w:hAnsi="Times New Roman"/>
          <w:sz w:val="22"/>
          <w:szCs w:val="22"/>
          <w:color w:val="auto"/>
        </w:rPr>
        <w:t>the Guarantor (as guarantor), certain banks party thereto and JPMorgan Chase Bank, N.A., as administrative agent, (ii) be binding upon the Guarantor, its successors and assigns, and (iii) inure to the benefit of and be enforceable by any holder of Debt Securities, the Trustee, and by their respective successors, transferees, and assigns.</w:t>
      </w:r>
    </w:p>
    <w:p>
      <w:pPr>
        <w:spacing w:after="0" w:line="200" w:lineRule="exact"/>
        <w:rPr>
          <w:sz w:val="20"/>
          <w:szCs w:val="20"/>
          <w:color w:val="auto"/>
        </w:rPr>
      </w:pPr>
    </w:p>
    <w:p>
      <w:pPr>
        <w:spacing w:after="0" w:line="292" w:lineRule="exact"/>
        <w:rPr>
          <w:sz w:val="20"/>
          <w:szCs w:val="20"/>
          <w:color w:val="auto"/>
        </w:rPr>
      </w:pPr>
    </w:p>
    <w:p>
      <w:pPr>
        <w:jc w:val="both"/>
        <w:ind w:left="860" w:right="219"/>
        <w:spacing w:after="0" w:line="253"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Reinstatement</w:t>
      </w:r>
      <w:r>
        <w:rPr>
          <w:rFonts w:ascii="Times New Roman" w:cs="Times New Roman" w:eastAsia="Times New Roman" w:hAnsi="Times New Roman"/>
          <w:sz w:val="22"/>
          <w:szCs w:val="22"/>
          <w:color w:val="auto"/>
        </w:rPr>
        <w:t xml:space="preserve">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79" w:lineRule="exact"/>
        <w:rPr>
          <w:sz w:val="20"/>
          <w:szCs w:val="20"/>
          <w:color w:val="auto"/>
        </w:rPr>
      </w:pPr>
    </w:p>
    <w:p>
      <w:pPr>
        <w:jc w:val="both"/>
        <w:ind w:left="860" w:right="219"/>
        <w:spacing w:after="0" w:line="252"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9" w:lineRule="exact"/>
        <w:rPr>
          <w:sz w:val="20"/>
          <w:szCs w:val="20"/>
          <w:color w:val="auto"/>
        </w:rPr>
      </w:pPr>
    </w:p>
    <w:p>
      <w:pPr>
        <w:jc w:val="both"/>
        <w:ind w:left="860" w:right="219"/>
        <w:spacing w:after="0" w:line="252"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636905</wp:posOffset>
            </wp:positionV>
            <wp:extent cx="5452110"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59" w:name="page260"/>
    <w:bookmarkEnd w:id="259"/>
    <w:p>
      <w:pPr>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Guarantor has caused this Guarantee to be duly executed and delivered by its officer thereunto duly authorized as of the date first above written.</w:t>
      </w:r>
    </w:p>
    <w:p>
      <w:pPr>
        <w:spacing w:after="0" w:line="200" w:lineRule="exact"/>
        <w:rPr>
          <w:sz w:val="20"/>
          <w:szCs w:val="20"/>
          <w:color w:val="auto"/>
        </w:rPr>
      </w:pPr>
    </w:p>
    <w:p>
      <w:pPr>
        <w:spacing w:after="0" w:line="25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auto"/>
        </w:rPr>
        <w:t>WASTE MANAGEMENT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700"/>
        <w:spacing w:after="0"/>
        <w:tabs>
          <w:tab w:leader="none" w:pos="5220" w:val="left"/>
        </w:tabs>
        <w:rPr>
          <w:sz w:val="20"/>
          <w:szCs w:val="20"/>
          <w:color w:val="auto"/>
        </w:rPr>
      </w:pPr>
      <w:r>
        <w:rPr>
          <w:rFonts w:ascii="Times New Roman" w:cs="Times New Roman" w:eastAsia="Times New Roman" w:hAnsi="Times New Roman"/>
          <w:sz w:val="22"/>
          <w:szCs w:val="22"/>
          <w:color w:val="auto"/>
        </w:rPr>
        <w:t>By:</w:t>
        <w:tab/>
        <w:t>/s/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-13970</wp:posOffset>
            </wp:positionV>
            <wp:extent cx="115951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5">
                      <a:extLst>
                        <a:ext uri="{28A0092B-C50C-407E-A947-70E740481C1C}"/>
                      </a:extLst>
                    </a:blip>
                    <a:srcRect/>
                    <a:stretch>
                      <a:fillRect/>
                    </a:stretch>
                  </pic:blipFill>
                  <pic:spPr bwMode="auto">
                    <a:xfrm>
                      <a:off x="0" y="0"/>
                      <a:ext cx="1159510" cy="8890"/>
                    </a:xfrm>
                    <a:prstGeom prst="rect">
                      <a:avLst/>
                    </a:prstGeom>
                    <a:noFill/>
                  </pic:spPr>
                </pic:pic>
              </a:graphicData>
            </a:graphic>
          </wp:anchor>
        </w:drawing>
      </w:r>
    </w:p>
    <w:p>
      <w:pPr>
        <w:spacing w:after="0" w:line="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Leslie K. Nagy</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700"/>
        <w:spacing w:after="0"/>
        <w:tabs>
          <w:tab w:leader="none" w:pos="52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-13970</wp:posOffset>
            </wp:positionV>
            <wp:extent cx="9486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6">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spacing w:after="0" w:line="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Courtney A. Tippy</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Guarantee</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(4.500% Senior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60" w:name="page261"/>
    <w:bookmarkEnd w:id="260"/>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4.14</w:t>
      </w:r>
    </w:p>
    <w:p>
      <w:pPr>
        <w:spacing w:after="0" w:line="200" w:lineRule="exact"/>
        <w:rPr>
          <w:sz w:val="20"/>
          <w:szCs w:val="20"/>
          <w:color w:val="auto"/>
        </w:rPr>
      </w:pPr>
    </w:p>
    <w:p>
      <w:pPr>
        <w:spacing w:after="0" w:line="23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GUARANTEE</w:t>
      </w:r>
    </w:p>
    <w:p>
      <w:pPr>
        <w:spacing w:after="0" w:line="22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BY WASTE MANAGEMENT HOLDINGS, INC.</w:t>
      </w:r>
    </w:p>
    <w:p>
      <w:pPr>
        <w:spacing w:after="0" w:line="22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(formerly known as Waste Management, Inc.)</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in Favor of The Bank of New York Mellon Trust Company, N.A., as Trustee for the Holders</w:t>
      </w:r>
    </w:p>
    <w:p>
      <w:pPr>
        <w:spacing w:after="0" w:line="2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of Certain Debt Securities of</w:t>
      </w:r>
    </w:p>
    <w:p>
      <w:pPr>
        <w:spacing w:after="0" w:line="19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WASTE MANAGEMENT, INC.</w:t>
      </w:r>
    </w:p>
    <w:p>
      <w:pPr>
        <w:spacing w:after="0" w:line="22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$700,000,000</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4.650% Senior Notes due 2030</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November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645160</wp:posOffset>
            </wp:positionV>
            <wp:extent cx="545211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1" w:name="page262"/>
    <w:bookmarkEnd w:id="261"/>
    <w:p>
      <w:pPr>
        <w:jc w:val="both"/>
        <w:ind w:left="200" w:right="219" w:firstLine="648"/>
        <w:spacing w:after="0" w:line="265" w:lineRule="auto"/>
        <w:rPr>
          <w:sz w:val="20"/>
          <w:szCs w:val="20"/>
          <w:color w:val="auto"/>
        </w:rPr>
      </w:pPr>
      <w:r>
        <w:rPr>
          <w:rFonts w:ascii="Times New Roman" w:cs="Times New Roman" w:eastAsia="Times New Roman" w:hAnsi="Times New Roman"/>
          <w:sz w:val="21"/>
          <w:szCs w:val="21"/>
          <w:color w:val="auto"/>
        </w:rPr>
        <w:t>GUARANTEE, dated as of November 4, 2024 (as amended from time to time, this “Guarantee”), made by Waste Management Holdings, Inc. (formerly known as Waste Management, Inc.), a Delaware corporation (the “Guarantor”), in favor of The Bank of New York Mellon Trust Company, N.A., as trustee for the holders of the $700,000,000 aggregate principal amount of 4.650% Senior Notes due 2030 (the “Debt Securities”) of Waste Management, Inc. (formerly known as USA Waste Services, Inc.), a Delaware corporation (the “Issuer”).</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WITNESSETH:</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200" w:right="219" w:firstLine="1305"/>
        <w:spacing w:after="0" w:line="246" w:lineRule="auto"/>
        <w:tabs>
          <w:tab w:leader="none" w:pos="2144"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90" w:lineRule="exact"/>
        <w:rPr>
          <w:rFonts w:ascii="Times New Roman" w:cs="Times New Roman" w:eastAsia="Times New Roman" w:hAnsi="Times New Roman"/>
          <w:sz w:val="22"/>
          <w:szCs w:val="22"/>
          <w:color w:val="auto"/>
        </w:rPr>
      </w:pPr>
    </w:p>
    <w:p>
      <w:pPr>
        <w:jc w:val="both"/>
        <w:ind w:left="200" w:right="219" w:firstLine="1305"/>
        <w:spacing w:after="0" w:line="246" w:lineRule="auto"/>
        <w:tabs>
          <w:tab w:leader="none" w:pos="2144"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88"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Guarantee Absolute</w:t>
      </w:r>
      <w:r>
        <w:rPr>
          <w:rFonts w:ascii="Times New Roman" w:cs="Times New Roman" w:eastAsia="Times New Roman" w:hAnsi="Times New Roman"/>
          <w:sz w:val="22"/>
          <w:szCs w:val="22"/>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1" w:lineRule="exact"/>
        <w:rPr>
          <w:sz w:val="20"/>
          <w:szCs w:val="20"/>
          <w:color w:val="auto"/>
        </w:rPr>
      </w:pPr>
    </w:p>
    <w:p>
      <w:pPr>
        <w:ind w:left="460" w:right="239" w:firstLine="1044"/>
        <w:spacing w:after="0" w:line="271" w:lineRule="auto"/>
        <w:tabs>
          <w:tab w:leader="none" w:pos="2145"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the Indenture, the Debt Securities or any other agreement or instrument relating thereto;</w:t>
      </w:r>
    </w:p>
    <w:p>
      <w:pPr>
        <w:spacing w:after="0" w:line="171" w:lineRule="exact"/>
        <w:rPr>
          <w:rFonts w:ascii="Times New Roman" w:cs="Times New Roman" w:eastAsia="Times New Roman" w:hAnsi="Times New Roman"/>
          <w:sz w:val="22"/>
          <w:szCs w:val="22"/>
          <w:color w:val="auto"/>
        </w:rPr>
      </w:pPr>
    </w:p>
    <w:p>
      <w:pPr>
        <w:jc w:val="both"/>
        <w:ind w:left="460" w:right="219" w:firstLine="1044"/>
        <w:spacing w:after="0" w:line="257" w:lineRule="auto"/>
        <w:tabs>
          <w:tab w:leader="none" w:pos="2145"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time, manner or place of payment of, or in any other term of, all or any of the Obligations, or any other amendment or waiver of or any consent to departure from the Indenture;</w:t>
      </w:r>
    </w:p>
    <w:p>
      <w:pPr>
        <w:spacing w:after="0" w:line="172" w:lineRule="exact"/>
        <w:rPr>
          <w:rFonts w:ascii="Times New Roman" w:cs="Times New Roman" w:eastAsia="Times New Roman" w:hAnsi="Times New Roman"/>
          <w:sz w:val="22"/>
          <w:szCs w:val="22"/>
          <w:color w:val="auto"/>
        </w:rPr>
      </w:pPr>
    </w:p>
    <w:p>
      <w:pPr>
        <w:jc w:val="both"/>
        <w:ind w:left="460" w:right="219" w:firstLine="1044"/>
        <w:spacing w:after="0" w:line="257" w:lineRule="auto"/>
        <w:tabs>
          <w:tab w:leader="none" w:pos="2145"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607060</wp:posOffset>
            </wp:positionV>
            <wp:extent cx="5452110"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62" w:name="page263"/>
    <w:bookmarkEnd w:id="262"/>
    <w:p>
      <w:pPr>
        <w:ind w:left="460" w:right="219" w:firstLine="1044"/>
        <w:spacing w:after="0" w:line="271" w:lineRule="auto"/>
        <w:tabs>
          <w:tab w:leader="none" w:pos="2145"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 which might otherwise constitute a defense available to, or a discharge of, the Issuer or a guarantor.</w:t>
      </w:r>
    </w:p>
    <w:p>
      <w:pPr>
        <w:spacing w:after="0" w:line="171"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Subordination</w:t>
      </w:r>
      <w:r>
        <w:rPr>
          <w:rFonts w:ascii="Times New Roman" w:cs="Times New Roman" w:eastAsia="Times New Roman" w:hAnsi="Times New Roman"/>
          <w:sz w:val="22"/>
          <w:szCs w:val="22"/>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22"/>
          <w:szCs w:val="22"/>
          <w:i w:val="1"/>
          <w:iCs w:val="1"/>
          <w:color w:val="auto"/>
        </w:rPr>
        <w:t>pari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passu </w:t>
      </w:r>
      <w:r>
        <w:rPr>
          <w:rFonts w:ascii="Times New Roman" w:cs="Times New Roman" w:eastAsia="Times New Roman" w:hAnsi="Times New Roman"/>
          <w:sz w:val="22"/>
          <w:szCs w:val="22"/>
          <w:color w:val="auto"/>
        </w:rPr>
        <w:t>with all existing and future senior indebtedness of the Guarantor and (b) senior in right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 to all existing and future subordinated indebtedness of the Guarantor.</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Waiver; Subrogation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200" w:right="219" w:firstLine="1305"/>
        <w:spacing w:after="0" w:line="250" w:lineRule="auto"/>
        <w:tabs>
          <w:tab w:leader="none" w:pos="2144"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50" w:lineRule="auto"/>
        <w:tabs>
          <w:tab w:leader="none" w:pos="2144"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1"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No Waiver, Remedies</w:t>
      </w:r>
      <w:r>
        <w:rPr>
          <w:rFonts w:ascii="Times New Roman" w:cs="Times New Roman" w:eastAsia="Times New Roman" w:hAnsi="Times New Roman"/>
          <w:sz w:val="22"/>
          <w:szCs w:val="22"/>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8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Continuing Guarantee; Transfer of Interest</w:t>
      </w:r>
      <w:r>
        <w:rPr>
          <w:rFonts w:ascii="Times New Roman" w:cs="Times New Roman" w:eastAsia="Times New Roman" w:hAnsi="Times New Roman"/>
          <w:sz w:val="19"/>
          <w:szCs w:val="19"/>
          <w:color w:val="auto"/>
        </w:rPr>
        <w:t>.  This Guarantee is a continuing guaranty and shall</w:t>
      </w:r>
    </w:p>
    <w:p>
      <w:pPr>
        <w:spacing w:after="0" w:line="29" w:lineRule="exact"/>
        <w:rPr>
          <w:sz w:val="20"/>
          <w:szCs w:val="20"/>
          <w:color w:val="auto"/>
        </w:rPr>
      </w:pPr>
    </w:p>
    <w:p>
      <w:pPr>
        <w:jc w:val="both"/>
        <w:ind w:left="200" w:right="219" w:firstLine="9"/>
        <w:spacing w:after="0" w:line="260" w:lineRule="auto"/>
        <w:tabs>
          <w:tab w:leader="none" w:pos="448"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each of the Seventh Amended and Restated Revolving Credit Agreement dated as of May 8, 2024 by and among the Issuer, Waste Management of Canada Corporation, WM Quebec Inc., the Guarantor (as guarantor), certain banks party thereto, and Bank of America, N.A., as administrative agent (or under any replacement or new principal credit facility of the Issuer) and the Term Credit Agreement dated as of August 28, 2024 by and among the Issuer, the Guarantor (as guarantor), certain banks party thereto and JPMorgan Chase Bank, N.A., as administrative agent, (ii) be binding upon the Guarantor, its successors and assigns, and (iii) inure to the benefit of and be enforceable by any holder of Debt Securities, the Trustee, and by their respective successors, transferees, and assigns.</w:t>
      </w:r>
    </w:p>
    <w:p>
      <w:pPr>
        <w:spacing w:after="0" w:line="200" w:lineRule="exact"/>
        <w:rPr>
          <w:sz w:val="20"/>
          <w:szCs w:val="20"/>
          <w:color w:val="auto"/>
        </w:rPr>
      </w:pPr>
    </w:p>
    <w:p>
      <w:pPr>
        <w:spacing w:after="0" w:line="303"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Reinstatement</w:t>
      </w:r>
      <w:r>
        <w:rPr>
          <w:rFonts w:ascii="Times New Roman" w:cs="Times New Roman" w:eastAsia="Times New Roman" w:hAnsi="Times New Roman"/>
          <w:sz w:val="22"/>
          <w:szCs w:val="22"/>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609600</wp:posOffset>
            </wp:positionV>
            <wp:extent cx="545211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63" w:name="page264"/>
    <w:bookmarkEnd w:id="263"/>
    <w:p>
      <w:pPr>
        <w:jc w:val="both"/>
        <w:ind w:left="200" w:right="219"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6"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611505</wp:posOffset>
            </wp:positionV>
            <wp:extent cx="545211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64" w:name="page265"/>
    <w:bookmarkEnd w:id="264"/>
    <w:p>
      <w:pPr>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Guarantor has caused this Guarantee to be duly executed and delivered by its officer thereunto duly authorized as of the date first above written.</w:t>
      </w:r>
    </w:p>
    <w:p>
      <w:pPr>
        <w:spacing w:after="0" w:line="200" w:lineRule="exact"/>
        <w:rPr>
          <w:sz w:val="20"/>
          <w:szCs w:val="20"/>
          <w:color w:val="auto"/>
        </w:rPr>
      </w:pPr>
    </w:p>
    <w:p>
      <w:pPr>
        <w:spacing w:after="0" w:line="2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auto"/>
        </w:rPr>
        <w:t>WASTE MANAGEMENT HOLDINGS,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700"/>
        <w:spacing w:after="0"/>
        <w:tabs>
          <w:tab w:leader="none" w:pos="5220" w:val="left"/>
        </w:tabs>
        <w:rPr>
          <w:sz w:val="20"/>
          <w:szCs w:val="20"/>
          <w:color w:val="auto"/>
        </w:rPr>
      </w:pPr>
      <w:r>
        <w:rPr>
          <w:rFonts w:ascii="Times New Roman" w:cs="Times New Roman" w:eastAsia="Times New Roman" w:hAnsi="Times New Roman"/>
          <w:sz w:val="22"/>
          <w:szCs w:val="22"/>
          <w:color w:val="auto"/>
        </w:rPr>
        <w:t>By:</w:t>
        <w:tab/>
        <w:t>/s/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-13970</wp:posOffset>
            </wp:positionV>
            <wp:extent cx="115951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2">
                      <a:extLst>
                        <a:ext uri="{28A0092B-C50C-407E-A947-70E740481C1C}"/>
                      </a:extLst>
                    </a:blip>
                    <a:srcRect/>
                    <a:stretch>
                      <a:fillRect/>
                    </a:stretch>
                  </pic:blipFill>
                  <pic:spPr bwMode="auto">
                    <a:xfrm>
                      <a:off x="0" y="0"/>
                      <a:ext cx="1159510" cy="8890"/>
                    </a:xfrm>
                    <a:prstGeom prst="rect">
                      <a:avLst/>
                    </a:prstGeom>
                    <a:noFill/>
                  </pic:spPr>
                </pic:pic>
              </a:graphicData>
            </a:graphic>
          </wp:anchor>
        </w:drawing>
      </w:r>
    </w:p>
    <w:p>
      <w:pPr>
        <w:spacing w:after="0" w:line="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Leslie K. Nagy</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00"/>
        <w:spacing w:after="0"/>
        <w:tabs>
          <w:tab w:leader="none" w:pos="52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-13970</wp:posOffset>
            </wp:positionV>
            <wp:extent cx="9486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3">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spacing w:after="0" w:line="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Courtney A. Tippy</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Guarantee</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(4.650%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518795</wp:posOffset>
            </wp:positionV>
            <wp:extent cx="545211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65" w:name="page266"/>
    <w:bookmarkEnd w:id="265"/>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4.15</w:t>
      </w:r>
    </w:p>
    <w:p>
      <w:pPr>
        <w:spacing w:after="0" w:line="39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GUARANTEE</w:t>
      </w:r>
    </w:p>
    <w:p>
      <w:pPr>
        <w:spacing w:after="0" w:line="22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BY WASTE MANAGEMENT HOLDINGS, INC.</w:t>
      </w:r>
    </w:p>
    <w:p>
      <w:pPr>
        <w:spacing w:after="0" w:line="22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(formerly known as Waste Management, Inc.)</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in Favor of The Bank of New York Mellon Trust Company, N.A., as Trustee for the Holders</w:t>
      </w:r>
    </w:p>
    <w:p>
      <w:pPr>
        <w:spacing w:after="0" w:line="2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of Certain Debt Securities of</w:t>
      </w:r>
    </w:p>
    <w:p>
      <w:pPr>
        <w:spacing w:after="0" w:line="19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WASTE MANAGEMENT, INC.</w:t>
      </w:r>
    </w:p>
    <w:p>
      <w:pPr>
        <w:spacing w:after="0" w:line="22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$750,000,000</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4.800% Senior Notes due 2032</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November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645160</wp:posOffset>
            </wp:positionV>
            <wp:extent cx="545211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66" w:name="page267"/>
    <w:bookmarkEnd w:id="266"/>
    <w:p>
      <w:pPr>
        <w:jc w:val="both"/>
        <w:ind w:left="200" w:right="219" w:firstLine="648"/>
        <w:spacing w:after="0" w:line="265" w:lineRule="auto"/>
        <w:rPr>
          <w:sz w:val="20"/>
          <w:szCs w:val="20"/>
          <w:color w:val="auto"/>
        </w:rPr>
      </w:pPr>
      <w:r>
        <w:rPr>
          <w:rFonts w:ascii="Times New Roman" w:cs="Times New Roman" w:eastAsia="Times New Roman" w:hAnsi="Times New Roman"/>
          <w:sz w:val="21"/>
          <w:szCs w:val="21"/>
          <w:color w:val="auto"/>
        </w:rPr>
        <w:t>GUARANTEE, dated as of November 4, 2024 (as amended from time to time, this “Guarantee”), made by Waste Management Holdings, Inc. (formerly known as Waste Management, Inc.), a Delaware corporation (the “Guarantor”), in favor of The Bank of New York Mellon Trust Company, N.A., as trustee for the holders of the $750,000,000 aggregate principal amount of 4.800% Senior Notes due 2032 (the “Debt Securities”) of Waste Management, Inc. (formerly known as USA Waste Services, Inc.), a Delaware corporation (the “Issuer”).</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WITNESSETH:</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200" w:right="219" w:firstLine="1305"/>
        <w:spacing w:after="0" w:line="246" w:lineRule="auto"/>
        <w:tabs>
          <w:tab w:leader="none" w:pos="2144"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90" w:lineRule="exact"/>
        <w:rPr>
          <w:rFonts w:ascii="Times New Roman" w:cs="Times New Roman" w:eastAsia="Times New Roman" w:hAnsi="Times New Roman"/>
          <w:sz w:val="22"/>
          <w:szCs w:val="22"/>
          <w:color w:val="auto"/>
        </w:rPr>
      </w:pPr>
    </w:p>
    <w:p>
      <w:pPr>
        <w:jc w:val="both"/>
        <w:ind w:left="200" w:right="219" w:firstLine="1305"/>
        <w:spacing w:after="0" w:line="246" w:lineRule="auto"/>
        <w:tabs>
          <w:tab w:leader="none" w:pos="2144"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88"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Guarantee Absolute</w:t>
      </w:r>
      <w:r>
        <w:rPr>
          <w:rFonts w:ascii="Times New Roman" w:cs="Times New Roman" w:eastAsia="Times New Roman" w:hAnsi="Times New Roman"/>
          <w:sz w:val="22"/>
          <w:szCs w:val="22"/>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1" w:lineRule="exact"/>
        <w:rPr>
          <w:sz w:val="20"/>
          <w:szCs w:val="20"/>
          <w:color w:val="auto"/>
        </w:rPr>
      </w:pPr>
    </w:p>
    <w:p>
      <w:pPr>
        <w:ind w:left="460" w:right="239" w:firstLine="1044"/>
        <w:spacing w:after="0" w:line="271" w:lineRule="auto"/>
        <w:tabs>
          <w:tab w:leader="none" w:pos="2145"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the Indenture, the Debt Securities or any other agreement or instrument relating thereto;</w:t>
      </w:r>
    </w:p>
    <w:p>
      <w:pPr>
        <w:spacing w:after="0" w:line="171" w:lineRule="exact"/>
        <w:rPr>
          <w:rFonts w:ascii="Times New Roman" w:cs="Times New Roman" w:eastAsia="Times New Roman" w:hAnsi="Times New Roman"/>
          <w:sz w:val="22"/>
          <w:szCs w:val="22"/>
          <w:color w:val="auto"/>
        </w:rPr>
      </w:pPr>
    </w:p>
    <w:p>
      <w:pPr>
        <w:jc w:val="both"/>
        <w:ind w:left="460" w:right="219" w:firstLine="1044"/>
        <w:spacing w:after="0" w:line="257" w:lineRule="auto"/>
        <w:tabs>
          <w:tab w:leader="none" w:pos="2145"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time, manner or place of payment of, or in any other term of, all or any of the Obligations, or any other amendment or waiver of or any consent to departure from the Indenture;</w:t>
      </w:r>
    </w:p>
    <w:p>
      <w:pPr>
        <w:spacing w:after="0" w:line="172" w:lineRule="exact"/>
        <w:rPr>
          <w:rFonts w:ascii="Times New Roman" w:cs="Times New Roman" w:eastAsia="Times New Roman" w:hAnsi="Times New Roman"/>
          <w:sz w:val="22"/>
          <w:szCs w:val="22"/>
          <w:color w:val="auto"/>
        </w:rPr>
      </w:pPr>
    </w:p>
    <w:p>
      <w:pPr>
        <w:jc w:val="both"/>
        <w:ind w:left="460" w:right="219" w:firstLine="1044"/>
        <w:spacing w:after="0" w:line="257" w:lineRule="auto"/>
        <w:tabs>
          <w:tab w:leader="none" w:pos="2145"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607060</wp:posOffset>
            </wp:positionV>
            <wp:extent cx="5452110"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67" w:name="page268"/>
    <w:bookmarkEnd w:id="267"/>
    <w:p>
      <w:pPr>
        <w:ind w:left="460" w:right="219" w:firstLine="1044"/>
        <w:spacing w:after="0" w:line="271" w:lineRule="auto"/>
        <w:tabs>
          <w:tab w:leader="none" w:pos="2145"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 which might otherwise constitute a defense available to, or a discharge of, the Issuer or a guarantor.</w:t>
      </w:r>
    </w:p>
    <w:p>
      <w:pPr>
        <w:spacing w:after="0" w:line="171"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Subordination</w:t>
      </w:r>
      <w:r>
        <w:rPr>
          <w:rFonts w:ascii="Times New Roman" w:cs="Times New Roman" w:eastAsia="Times New Roman" w:hAnsi="Times New Roman"/>
          <w:sz w:val="22"/>
          <w:szCs w:val="22"/>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22"/>
          <w:szCs w:val="22"/>
          <w:i w:val="1"/>
          <w:iCs w:val="1"/>
          <w:color w:val="auto"/>
        </w:rPr>
        <w:t>pari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passu </w:t>
      </w:r>
      <w:r>
        <w:rPr>
          <w:rFonts w:ascii="Times New Roman" w:cs="Times New Roman" w:eastAsia="Times New Roman" w:hAnsi="Times New Roman"/>
          <w:sz w:val="22"/>
          <w:szCs w:val="22"/>
          <w:color w:val="auto"/>
        </w:rPr>
        <w:t>with all existing and future senior indebtedness of the Guarantor and (b) senior in right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 to all existing and future subordinated indebtedness of the Guarantor.</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Waiver; Subrogation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200" w:right="219" w:firstLine="1305"/>
        <w:spacing w:after="0" w:line="250" w:lineRule="auto"/>
        <w:tabs>
          <w:tab w:leader="none" w:pos="2144"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50" w:lineRule="auto"/>
        <w:tabs>
          <w:tab w:leader="none" w:pos="2144"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1"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No Waiver, Remedies</w:t>
      </w:r>
      <w:r>
        <w:rPr>
          <w:rFonts w:ascii="Times New Roman" w:cs="Times New Roman" w:eastAsia="Times New Roman" w:hAnsi="Times New Roman"/>
          <w:sz w:val="22"/>
          <w:szCs w:val="22"/>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81"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u w:val="single" w:color="auto"/>
          <w:color w:val="auto"/>
        </w:rPr>
        <w:t>Continuing Guarantee; Transfer of Interest</w:t>
      </w:r>
      <w:r>
        <w:rPr>
          <w:rFonts w:ascii="Times New Roman" w:cs="Times New Roman" w:eastAsia="Times New Roman" w:hAnsi="Times New Roman"/>
          <w:sz w:val="22"/>
          <w:szCs w:val="22"/>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each of the Seventh Amended and Restated Revolving Credit Agreement dated as of May 8, 2024 by and among the Issuer, Waste Management of Canada Corporation, WM Quebec Inc., the Guarantor (as guarantor), certain banks party thereto, and Bank of America, N.A., as administrative agent (or under any replacement or new principal credit facility of the Issuer) and the Term Credit Agreement dated as of August 28, 2024 by and among the Issuer, the Guarantor (as guarantor), certain banks party thereto and JPMorgan Chase Bank, N.A., as administrative agent, (ii) be binding upon the Guarantor, its successors and assigns, and (iii) inure to the benefit of and be enforceable by any holder of Debt Securities, the Trustee, and by their respective successors, transferees, and assigns.</w:t>
      </w:r>
    </w:p>
    <w:p>
      <w:pPr>
        <w:spacing w:after="0" w:line="200" w:lineRule="exact"/>
        <w:rPr>
          <w:sz w:val="20"/>
          <w:szCs w:val="20"/>
          <w:color w:val="auto"/>
        </w:rPr>
      </w:pPr>
    </w:p>
    <w:p>
      <w:pPr>
        <w:spacing w:after="0" w:line="328"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Reinstatement</w:t>
      </w:r>
      <w:r>
        <w:rPr>
          <w:rFonts w:ascii="Times New Roman" w:cs="Times New Roman" w:eastAsia="Times New Roman" w:hAnsi="Times New Roman"/>
          <w:sz w:val="22"/>
          <w:szCs w:val="22"/>
          <w:color w:val="auto"/>
        </w:rPr>
        <w:t>. This Guarantee shall continue to be effective or be reinstated, as the case may be, if at any time any payment of any of the Obligations is rescinded or must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606425</wp:posOffset>
            </wp:positionV>
            <wp:extent cx="545211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68" w:name="page269"/>
    <w:bookmarkEnd w:id="268"/>
    <w:p>
      <w:pPr>
        <w:jc w:val="both"/>
        <w:ind w:left="200" w:right="219"/>
        <w:spacing w:after="0" w:line="263" w:lineRule="auto"/>
        <w:rPr>
          <w:sz w:val="20"/>
          <w:szCs w:val="20"/>
          <w:color w:val="auto"/>
        </w:rPr>
      </w:pPr>
      <w:r>
        <w:rPr>
          <w:rFonts w:ascii="Times New Roman" w:cs="Times New Roman" w:eastAsia="Times New Roman" w:hAnsi="Times New Roman"/>
          <w:sz w:val="22"/>
          <w:szCs w:val="22"/>
          <w:color w:val="auto"/>
        </w:rPr>
        <w:t>otherwise be returned by any holder of the Debt Securities or the Trustee upon the insolvency, bankruptcy or reorganization of the Issuer or otherwise, all as though such payment had not been made.</w:t>
      </w:r>
    </w:p>
    <w:p>
      <w:pPr>
        <w:spacing w:after="0" w:line="167"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9"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611505</wp:posOffset>
            </wp:positionV>
            <wp:extent cx="5452110"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69" w:name="page270"/>
    <w:bookmarkEnd w:id="269"/>
    <w:p>
      <w:pPr>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Guarantor has caused this Guarantee to be duly executed and delivered by its officer thereunto duly authorized as of the date first above written.</w:t>
      </w:r>
    </w:p>
    <w:p>
      <w:pPr>
        <w:spacing w:after="0" w:line="200" w:lineRule="exact"/>
        <w:rPr>
          <w:sz w:val="20"/>
          <w:szCs w:val="20"/>
          <w:color w:val="auto"/>
        </w:rPr>
      </w:pPr>
    </w:p>
    <w:p>
      <w:pPr>
        <w:spacing w:after="0" w:line="2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auto"/>
        </w:rPr>
        <w:t>WASTE MANAGEMENT HOLDINGS,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700"/>
        <w:spacing w:after="0"/>
        <w:tabs>
          <w:tab w:leader="none" w:pos="5220" w:val="left"/>
        </w:tabs>
        <w:rPr>
          <w:sz w:val="20"/>
          <w:szCs w:val="20"/>
          <w:color w:val="auto"/>
        </w:rPr>
      </w:pPr>
      <w:r>
        <w:rPr>
          <w:rFonts w:ascii="Times New Roman" w:cs="Times New Roman" w:eastAsia="Times New Roman" w:hAnsi="Times New Roman"/>
          <w:sz w:val="22"/>
          <w:szCs w:val="22"/>
          <w:color w:val="auto"/>
        </w:rPr>
        <w:t>By:</w:t>
        <w:tab/>
        <w:t>/s/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-13970</wp:posOffset>
            </wp:positionV>
            <wp:extent cx="115951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9">
                      <a:extLst>
                        <a:ext uri="{28A0092B-C50C-407E-A947-70E740481C1C}"/>
                      </a:extLst>
                    </a:blip>
                    <a:srcRect/>
                    <a:stretch>
                      <a:fillRect/>
                    </a:stretch>
                  </pic:blipFill>
                  <pic:spPr bwMode="auto">
                    <a:xfrm>
                      <a:off x="0" y="0"/>
                      <a:ext cx="1159510" cy="8890"/>
                    </a:xfrm>
                    <a:prstGeom prst="rect">
                      <a:avLst/>
                    </a:prstGeom>
                    <a:noFill/>
                  </pic:spPr>
                </pic:pic>
              </a:graphicData>
            </a:graphic>
          </wp:anchor>
        </w:drawing>
      </w:r>
    </w:p>
    <w:p>
      <w:pPr>
        <w:spacing w:after="0" w:line="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Leslie K. Nagy</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00"/>
        <w:spacing w:after="0"/>
        <w:tabs>
          <w:tab w:leader="none" w:pos="52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-13970</wp:posOffset>
            </wp:positionV>
            <wp:extent cx="9486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0">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spacing w:after="0" w:line="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Courtney A. Tippy</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Guarantee</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(4.800%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518795</wp:posOffset>
            </wp:positionV>
            <wp:extent cx="5452110"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70" w:name="page271"/>
    <w:bookmarkEnd w:id="270"/>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4.16</w:t>
      </w:r>
    </w:p>
    <w:p>
      <w:pPr>
        <w:spacing w:after="0" w:line="39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GUARANTEE</w:t>
      </w:r>
    </w:p>
    <w:p>
      <w:pPr>
        <w:spacing w:after="0" w:line="22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BY WASTE MANAGEMENT HOLDINGS, INC.</w:t>
      </w:r>
    </w:p>
    <w:p>
      <w:pPr>
        <w:spacing w:after="0" w:line="22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(formerly known as Waste Management, Inc.)</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in Favor of The Bank of New York Mellon Trust Company, N.A., as Trustee for the Holders</w:t>
      </w:r>
    </w:p>
    <w:p>
      <w:pPr>
        <w:spacing w:after="0" w:line="2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of Certain Debt Securities of</w:t>
      </w:r>
    </w:p>
    <w:p>
      <w:pPr>
        <w:spacing w:after="0" w:line="19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WASTE MANAGEMENT, INC.</w:t>
      </w:r>
    </w:p>
    <w:p>
      <w:pPr>
        <w:spacing w:after="0" w:line="22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$1,500,000,000</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4.950% Senior Notes due 2035</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November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636905</wp:posOffset>
            </wp:positionV>
            <wp:extent cx="5452110"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71" w:name="page272"/>
    <w:bookmarkEnd w:id="271"/>
    <w:p>
      <w:pPr>
        <w:jc w:val="both"/>
        <w:ind w:left="200" w:right="219" w:firstLine="648"/>
        <w:spacing w:after="0" w:line="265" w:lineRule="auto"/>
        <w:rPr>
          <w:sz w:val="20"/>
          <w:szCs w:val="20"/>
          <w:color w:val="auto"/>
        </w:rPr>
      </w:pPr>
      <w:r>
        <w:rPr>
          <w:rFonts w:ascii="Times New Roman" w:cs="Times New Roman" w:eastAsia="Times New Roman" w:hAnsi="Times New Roman"/>
          <w:sz w:val="21"/>
          <w:szCs w:val="21"/>
          <w:color w:val="auto"/>
        </w:rPr>
        <w:t>GUARANTEE, dated as of November 4, 2024 (as amended from time to time, this “Guarantee”), made by Waste Management Holdings, Inc. (formerly known as Waste Management, Inc.), a Delaware corporation (the “Guarantor”), in favor of The Bank of New York Mellon Trust Company, N.A., as trustee for the holders of the $1,500,000,000 aggregate principal amount of 4.950% Senior Notes due 2035 (the “Debt Securities”) of Waste Management, Inc. (formerly known as USA Waste Services, Inc.), a Delaware corporation (the “Issuer”).</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WITNESSETH:</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91"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88"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Guarantee Absolute</w:t>
      </w:r>
      <w:r>
        <w:rPr>
          <w:rFonts w:ascii="Times New Roman" w:cs="Times New Roman" w:eastAsia="Times New Roman" w:hAnsi="Times New Roman"/>
          <w:sz w:val="22"/>
          <w:szCs w:val="22"/>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1" w:lineRule="exact"/>
        <w:rPr>
          <w:sz w:val="20"/>
          <w:szCs w:val="20"/>
          <w:color w:val="auto"/>
        </w:rPr>
      </w:pPr>
    </w:p>
    <w:p>
      <w:pPr>
        <w:jc w:val="both"/>
        <w:ind w:left="460" w:right="239" w:firstLine="1037"/>
        <w:spacing w:after="0" w:line="271" w:lineRule="auto"/>
        <w:rPr>
          <w:sz w:val="20"/>
          <w:szCs w:val="20"/>
          <w:color w:val="auto"/>
        </w:rPr>
      </w:pPr>
      <w:r>
        <w:rPr>
          <w:rFonts w:ascii="Times New Roman" w:cs="Times New Roman" w:eastAsia="Times New Roman" w:hAnsi="Times New Roman"/>
          <w:sz w:val="22"/>
          <w:szCs w:val="22"/>
          <w:color w:val="auto"/>
        </w:rPr>
        <w:t>any lack of validity or enforceability of the Indenture, the Debt Securities or any other agreement or instrument relating thereto;</w:t>
      </w:r>
    </w:p>
    <w:p>
      <w:pPr>
        <w:spacing w:after="0" w:line="171" w:lineRule="exact"/>
        <w:rPr>
          <w:sz w:val="20"/>
          <w:szCs w:val="20"/>
          <w:color w:val="auto"/>
        </w:rPr>
      </w:pPr>
    </w:p>
    <w:p>
      <w:pPr>
        <w:jc w:val="both"/>
        <w:ind w:left="460" w:right="219" w:firstLine="1037"/>
        <w:spacing w:after="0" w:line="257" w:lineRule="auto"/>
        <w:rPr>
          <w:sz w:val="20"/>
          <w:szCs w:val="20"/>
          <w:color w:val="auto"/>
        </w:rPr>
      </w:pPr>
      <w:r>
        <w:rPr>
          <w:rFonts w:ascii="Times New Roman" w:cs="Times New Roman" w:eastAsia="Times New Roman" w:hAnsi="Times New Roman"/>
          <w:sz w:val="22"/>
          <w:szCs w:val="22"/>
          <w:color w:val="auto"/>
        </w:rPr>
        <w:t>any change in the time, manner or place of payment of, or in any other term of, all or any of the Obligations, or any other amendment or waiver of or any consent to departure from the Indenture;</w:t>
      </w:r>
    </w:p>
    <w:p>
      <w:pPr>
        <w:spacing w:after="0" w:line="173" w:lineRule="exact"/>
        <w:rPr>
          <w:sz w:val="20"/>
          <w:szCs w:val="20"/>
          <w:color w:val="auto"/>
        </w:rPr>
      </w:pPr>
    </w:p>
    <w:p>
      <w:pPr>
        <w:jc w:val="both"/>
        <w:ind w:left="460" w:right="219" w:firstLine="1037"/>
        <w:spacing w:after="0" w:line="257" w:lineRule="auto"/>
        <w:rPr>
          <w:sz w:val="20"/>
          <w:szCs w:val="20"/>
          <w:color w:val="auto"/>
        </w:rPr>
      </w:pPr>
      <w:r>
        <w:rPr>
          <w:rFonts w:ascii="Times New Roman" w:cs="Times New Roman" w:eastAsia="Times New Roman" w:hAnsi="Times New Roman"/>
          <w:sz w:val="22"/>
          <w:szCs w:val="22"/>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607060</wp:posOffset>
            </wp:positionV>
            <wp:extent cx="5452110"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72" w:name="page273"/>
    <w:bookmarkEnd w:id="272"/>
    <w:p>
      <w:pPr>
        <w:ind w:left="460" w:right="219" w:firstLine="1037"/>
        <w:spacing w:after="0" w:line="271" w:lineRule="auto"/>
        <w:rPr>
          <w:sz w:val="20"/>
          <w:szCs w:val="20"/>
          <w:color w:val="auto"/>
        </w:rPr>
      </w:pPr>
      <w:r>
        <w:rPr>
          <w:rFonts w:ascii="Times New Roman" w:cs="Times New Roman" w:eastAsia="Times New Roman" w:hAnsi="Times New Roman"/>
          <w:sz w:val="22"/>
          <w:szCs w:val="22"/>
          <w:color w:val="auto"/>
        </w:rPr>
        <w:t>any other circumstance which might otherwise constitute a defense available to, or a discharge of, the Issuer or a guarantor.</w:t>
      </w:r>
    </w:p>
    <w:p>
      <w:pPr>
        <w:spacing w:after="0" w:line="171"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Subordination</w:t>
      </w:r>
      <w:r>
        <w:rPr>
          <w:rFonts w:ascii="Times New Roman" w:cs="Times New Roman" w:eastAsia="Times New Roman" w:hAnsi="Times New Roman"/>
          <w:sz w:val="22"/>
          <w:szCs w:val="22"/>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22"/>
          <w:szCs w:val="22"/>
          <w:i w:val="1"/>
          <w:iCs w:val="1"/>
          <w:color w:val="auto"/>
        </w:rPr>
        <w:t>pari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passu </w:t>
      </w:r>
      <w:r>
        <w:rPr>
          <w:rFonts w:ascii="Times New Roman" w:cs="Times New Roman" w:eastAsia="Times New Roman" w:hAnsi="Times New Roman"/>
          <w:sz w:val="22"/>
          <w:szCs w:val="22"/>
          <w:color w:val="auto"/>
        </w:rPr>
        <w:t>with all existing and future senior indebtedness of the Guarantor and (b) senior in right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 to all existing and future subordinated indebtedness of the Guarantor.</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Waiver; Subrogation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200" w:right="219" w:firstLine="1296"/>
        <w:spacing w:after="0" w:line="250" w:lineRule="auto"/>
        <w:rPr>
          <w:sz w:val="20"/>
          <w:szCs w:val="20"/>
          <w:color w:val="auto"/>
        </w:rPr>
      </w:pPr>
      <w:r>
        <w:rPr>
          <w:rFonts w:ascii="Times New Roman" w:cs="Times New Roman" w:eastAsia="Times New Roman" w:hAnsi="Times New Roman"/>
          <w:sz w:val="22"/>
          <w:szCs w:val="22"/>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1" w:lineRule="exact"/>
        <w:rPr>
          <w:sz w:val="20"/>
          <w:szCs w:val="20"/>
          <w:color w:val="auto"/>
        </w:rPr>
      </w:pPr>
    </w:p>
    <w:p>
      <w:pPr>
        <w:jc w:val="both"/>
        <w:ind w:left="200" w:right="219" w:firstLine="1296"/>
        <w:spacing w:after="0" w:line="250" w:lineRule="auto"/>
        <w:rPr>
          <w:sz w:val="20"/>
          <w:szCs w:val="20"/>
          <w:color w:val="auto"/>
        </w:rPr>
      </w:pPr>
      <w:r>
        <w:rPr>
          <w:rFonts w:ascii="Times New Roman" w:cs="Times New Roman" w:eastAsia="Times New Roman" w:hAnsi="Times New Roman"/>
          <w:sz w:val="22"/>
          <w:szCs w:val="22"/>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1"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No Waiver, Remedies</w:t>
      </w:r>
      <w:r>
        <w:rPr>
          <w:rFonts w:ascii="Times New Roman" w:cs="Times New Roman" w:eastAsia="Times New Roman" w:hAnsi="Times New Roman"/>
          <w:sz w:val="22"/>
          <w:szCs w:val="22"/>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81"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u w:val="single" w:color="auto"/>
          <w:color w:val="auto"/>
        </w:rPr>
        <w:t>Continuing Guarantee; Transfer of Interest</w:t>
      </w:r>
      <w:r>
        <w:rPr>
          <w:rFonts w:ascii="Times New Roman" w:cs="Times New Roman" w:eastAsia="Times New Roman" w:hAnsi="Times New Roman"/>
          <w:sz w:val="22"/>
          <w:szCs w:val="22"/>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each of the Seventh Amended and Restated Revolving Credit Agreement dated as of May 8, 2024 by and among the Issuer, Waste Management of Canada Corporation, WM Quebec Inc., the Guarantor (as guarantor), certain banks party thereto, and Bank of America, N.A., as administrative agent (or under any replacement or new principal credit facility of the Issuer) and the Term Credit Agreement dated as of August 28, 2024 by and among the Issuer, the Guarantor (as guarantor), certain banks party thereto and JPMorgan Chase Bank, N.A., as administrative agent, (ii) be binding upon the Guarantor, its successors and assigns, and (iii) inure to the benefit of and be enforceable by any holder of Debt Securities, the Trustee, and by their respective successors, transferees, and assigns.</w:t>
      </w:r>
    </w:p>
    <w:p>
      <w:pPr>
        <w:spacing w:after="0" w:line="244"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Reinstatement</w:t>
      </w:r>
      <w:r>
        <w:rPr>
          <w:rFonts w:ascii="Times New Roman" w:cs="Times New Roman" w:eastAsia="Times New Roman" w:hAnsi="Times New Roman"/>
          <w:sz w:val="22"/>
          <w:szCs w:val="22"/>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619760</wp:posOffset>
            </wp:positionV>
            <wp:extent cx="545211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73" w:name="page274"/>
    <w:bookmarkEnd w:id="273"/>
    <w:p>
      <w:pPr>
        <w:jc w:val="both"/>
        <w:ind w:left="200" w:right="219"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6"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611505</wp:posOffset>
            </wp:positionV>
            <wp:extent cx="5452110"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74" w:name="page275"/>
    <w:bookmarkEnd w:id="274"/>
    <w:p>
      <w:pPr>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Guarantor has caused this Guarantee to be duly executed and delivered by its officer thereunto duly authorized as of the date first above written.</w:t>
      </w:r>
    </w:p>
    <w:p>
      <w:pPr>
        <w:spacing w:after="0" w:line="200" w:lineRule="exact"/>
        <w:rPr>
          <w:sz w:val="20"/>
          <w:szCs w:val="20"/>
          <w:color w:val="auto"/>
        </w:rPr>
      </w:pPr>
    </w:p>
    <w:p>
      <w:pPr>
        <w:spacing w:after="0" w:line="25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auto"/>
        </w:rPr>
        <w:t>WASTE MANAGEMENT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700"/>
        <w:spacing w:after="0"/>
        <w:tabs>
          <w:tab w:leader="none" w:pos="5220" w:val="left"/>
        </w:tabs>
        <w:rPr>
          <w:sz w:val="20"/>
          <w:szCs w:val="20"/>
          <w:color w:val="auto"/>
        </w:rPr>
      </w:pPr>
      <w:r>
        <w:rPr>
          <w:rFonts w:ascii="Times New Roman" w:cs="Times New Roman" w:eastAsia="Times New Roman" w:hAnsi="Times New Roman"/>
          <w:sz w:val="22"/>
          <w:szCs w:val="22"/>
          <w:color w:val="auto"/>
        </w:rPr>
        <w:t>By:</w:t>
        <w:tab/>
        <w:t>/s/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-13970</wp:posOffset>
            </wp:positionV>
            <wp:extent cx="115951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6">
                      <a:extLst>
                        <a:ext uri="{28A0092B-C50C-407E-A947-70E740481C1C}"/>
                      </a:extLst>
                    </a:blip>
                    <a:srcRect/>
                    <a:stretch>
                      <a:fillRect/>
                    </a:stretch>
                  </pic:blipFill>
                  <pic:spPr bwMode="auto">
                    <a:xfrm>
                      <a:off x="0" y="0"/>
                      <a:ext cx="1159510" cy="8890"/>
                    </a:xfrm>
                    <a:prstGeom prst="rect">
                      <a:avLst/>
                    </a:prstGeom>
                    <a:noFill/>
                  </pic:spPr>
                </pic:pic>
              </a:graphicData>
            </a:graphic>
          </wp:anchor>
        </w:drawing>
      </w:r>
    </w:p>
    <w:p>
      <w:pPr>
        <w:spacing w:after="0" w:line="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Leslie K. Nagy</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700"/>
        <w:spacing w:after="0"/>
        <w:tabs>
          <w:tab w:leader="none" w:pos="52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-13970</wp:posOffset>
            </wp:positionV>
            <wp:extent cx="9486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7">
                      <a:extLst>
                        <a:ext uri="{28A0092B-C50C-407E-A947-70E740481C1C}"/>
                      </a:extLst>
                    </a:blip>
                    <a:srcRect/>
                    <a:stretch>
                      <a:fillRect/>
                    </a:stretch>
                  </pic:blipFill>
                  <pic:spPr bwMode="auto">
                    <a:xfrm>
                      <a:off x="0" y="0"/>
                      <a:ext cx="948690" cy="8890"/>
                    </a:xfrm>
                    <a:prstGeom prst="rect">
                      <a:avLst/>
                    </a:prstGeom>
                    <a:noFill/>
                  </pic:spPr>
                </pic:pic>
              </a:graphicData>
            </a:graphic>
          </wp:anchor>
        </w:drawing>
      </w:r>
    </w:p>
    <w:p>
      <w:pPr>
        <w:spacing w:after="0" w:line="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Courtney A. Tippy</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Guarantee</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(4.950% Senior Notes due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75" w:name="page276"/>
    <w:bookmarkEnd w:id="275"/>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4.17</w:t>
      </w:r>
    </w:p>
    <w:p>
      <w:pPr>
        <w:spacing w:after="0" w:line="39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GUARANTEE</w:t>
      </w:r>
    </w:p>
    <w:p>
      <w:pPr>
        <w:spacing w:after="0" w:line="22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BY WASTE MANAGEMENT HOLDINGS, INC.</w:t>
      </w:r>
    </w:p>
    <w:p>
      <w:pPr>
        <w:spacing w:after="0" w:line="22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(formerly known as Waste Management, Inc.)</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in Favor of The Bank of New York Mellon Trust Company, N.A., as Trustee for the Holders</w:t>
      </w:r>
    </w:p>
    <w:p>
      <w:pPr>
        <w:spacing w:after="0" w:line="2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of Certain Debt Securities of</w:t>
      </w:r>
    </w:p>
    <w:p>
      <w:pPr>
        <w:spacing w:after="0" w:line="19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WASTE MANAGEMENT, INC.</w:t>
      </w:r>
    </w:p>
    <w:p>
      <w:pPr>
        <w:spacing w:after="0" w:line="22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$1,250,000,000</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5.350% Senior Notes due 2054</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November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636905</wp:posOffset>
            </wp:positionV>
            <wp:extent cx="5452110"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76" w:name="page277"/>
    <w:bookmarkEnd w:id="276"/>
    <w:p>
      <w:pPr>
        <w:jc w:val="both"/>
        <w:ind w:left="200" w:right="219" w:firstLine="648"/>
        <w:spacing w:after="0" w:line="265" w:lineRule="auto"/>
        <w:rPr>
          <w:sz w:val="20"/>
          <w:szCs w:val="20"/>
          <w:color w:val="auto"/>
        </w:rPr>
      </w:pPr>
      <w:r>
        <w:rPr>
          <w:rFonts w:ascii="Times New Roman" w:cs="Times New Roman" w:eastAsia="Times New Roman" w:hAnsi="Times New Roman"/>
          <w:sz w:val="21"/>
          <w:szCs w:val="21"/>
          <w:color w:val="auto"/>
        </w:rPr>
        <w:t>GUARANTEE, dated as of November 4, 2024 (as amended from time to time, this “Guarantee”), made by Waste Management Holdings, Inc. (formerly known as Waste Management, Inc.), a Delaware corporation (the “Guarantor”), in favor of The Bank of New York Mellon Trust Company, N.A., as trustee for the holders of the $1,250,000,000 aggregate principal amount of 5.350% Senior Notes due 2054 (the “Debt Securities”) of Waste Management, Inc. (formerly known as USA Waste Services, Inc.), a Delaware corporation (the “Issuer”).</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WITNESSETH:</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91"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88"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Guarantee Absolute</w:t>
      </w:r>
      <w:r>
        <w:rPr>
          <w:rFonts w:ascii="Times New Roman" w:cs="Times New Roman" w:eastAsia="Times New Roman" w:hAnsi="Times New Roman"/>
          <w:sz w:val="22"/>
          <w:szCs w:val="22"/>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1" w:lineRule="exact"/>
        <w:rPr>
          <w:sz w:val="20"/>
          <w:szCs w:val="20"/>
          <w:color w:val="auto"/>
        </w:rPr>
      </w:pPr>
    </w:p>
    <w:p>
      <w:pPr>
        <w:jc w:val="both"/>
        <w:ind w:left="460" w:right="239" w:firstLine="1037"/>
        <w:spacing w:after="0" w:line="271" w:lineRule="auto"/>
        <w:rPr>
          <w:sz w:val="20"/>
          <w:szCs w:val="20"/>
          <w:color w:val="auto"/>
        </w:rPr>
      </w:pPr>
      <w:r>
        <w:rPr>
          <w:rFonts w:ascii="Times New Roman" w:cs="Times New Roman" w:eastAsia="Times New Roman" w:hAnsi="Times New Roman"/>
          <w:sz w:val="22"/>
          <w:szCs w:val="22"/>
          <w:color w:val="auto"/>
        </w:rPr>
        <w:t>any lack of validity or enforceability of the Indenture, the Debt Securities or any other agreement or instrument relating thereto;</w:t>
      </w:r>
    </w:p>
    <w:p>
      <w:pPr>
        <w:spacing w:after="0" w:line="171" w:lineRule="exact"/>
        <w:rPr>
          <w:sz w:val="20"/>
          <w:szCs w:val="20"/>
          <w:color w:val="auto"/>
        </w:rPr>
      </w:pPr>
    </w:p>
    <w:p>
      <w:pPr>
        <w:jc w:val="both"/>
        <w:ind w:left="460" w:right="219" w:firstLine="1037"/>
        <w:spacing w:after="0" w:line="257" w:lineRule="auto"/>
        <w:rPr>
          <w:sz w:val="20"/>
          <w:szCs w:val="20"/>
          <w:color w:val="auto"/>
        </w:rPr>
      </w:pPr>
      <w:r>
        <w:rPr>
          <w:rFonts w:ascii="Times New Roman" w:cs="Times New Roman" w:eastAsia="Times New Roman" w:hAnsi="Times New Roman"/>
          <w:sz w:val="22"/>
          <w:szCs w:val="22"/>
          <w:color w:val="auto"/>
        </w:rPr>
        <w:t>any change in the time, manner or place of payment of, or in any other term of, all or any of the Obligations, or any other amendment or waiver of or any consent to departure from the Indenture;</w:t>
      </w:r>
    </w:p>
    <w:p>
      <w:pPr>
        <w:spacing w:after="0" w:line="173" w:lineRule="exact"/>
        <w:rPr>
          <w:sz w:val="20"/>
          <w:szCs w:val="20"/>
          <w:color w:val="auto"/>
        </w:rPr>
      </w:pPr>
    </w:p>
    <w:p>
      <w:pPr>
        <w:jc w:val="both"/>
        <w:ind w:left="460" w:right="219" w:firstLine="1037"/>
        <w:spacing w:after="0" w:line="257" w:lineRule="auto"/>
        <w:rPr>
          <w:sz w:val="20"/>
          <w:szCs w:val="20"/>
          <w:color w:val="auto"/>
        </w:rPr>
      </w:pPr>
      <w:r>
        <w:rPr>
          <w:rFonts w:ascii="Times New Roman" w:cs="Times New Roman" w:eastAsia="Times New Roman" w:hAnsi="Times New Roman"/>
          <w:sz w:val="22"/>
          <w:szCs w:val="22"/>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607060</wp:posOffset>
            </wp:positionV>
            <wp:extent cx="5452110"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77" w:name="page278"/>
    <w:bookmarkEnd w:id="277"/>
    <w:p>
      <w:pPr>
        <w:ind w:left="460" w:right="219" w:firstLine="1037"/>
        <w:spacing w:after="0" w:line="271" w:lineRule="auto"/>
        <w:rPr>
          <w:sz w:val="20"/>
          <w:szCs w:val="20"/>
          <w:color w:val="auto"/>
        </w:rPr>
      </w:pPr>
      <w:r>
        <w:rPr>
          <w:rFonts w:ascii="Times New Roman" w:cs="Times New Roman" w:eastAsia="Times New Roman" w:hAnsi="Times New Roman"/>
          <w:sz w:val="22"/>
          <w:szCs w:val="22"/>
          <w:color w:val="auto"/>
        </w:rPr>
        <w:t>any other circumstance which might otherwise constitute a defense available to, or a discharge of, the Issuer or a guarantor.</w:t>
      </w:r>
    </w:p>
    <w:p>
      <w:pPr>
        <w:spacing w:after="0" w:line="171"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Subordination</w:t>
      </w:r>
      <w:r>
        <w:rPr>
          <w:rFonts w:ascii="Times New Roman" w:cs="Times New Roman" w:eastAsia="Times New Roman" w:hAnsi="Times New Roman"/>
          <w:sz w:val="22"/>
          <w:szCs w:val="22"/>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22"/>
          <w:szCs w:val="22"/>
          <w:i w:val="1"/>
          <w:iCs w:val="1"/>
          <w:color w:val="auto"/>
        </w:rPr>
        <w:t>pari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passu </w:t>
      </w:r>
      <w:r>
        <w:rPr>
          <w:rFonts w:ascii="Times New Roman" w:cs="Times New Roman" w:eastAsia="Times New Roman" w:hAnsi="Times New Roman"/>
          <w:sz w:val="22"/>
          <w:szCs w:val="22"/>
          <w:color w:val="auto"/>
        </w:rPr>
        <w:t>with all existing and future senior indebtedness of the Guarantor and (b) senior in right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 to all existing and future subordinated indebtedness of the Guarantor.</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Waiver; Subrogation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200" w:right="219" w:firstLine="1296"/>
        <w:spacing w:after="0" w:line="250" w:lineRule="auto"/>
        <w:rPr>
          <w:sz w:val="20"/>
          <w:szCs w:val="20"/>
          <w:color w:val="auto"/>
        </w:rPr>
      </w:pPr>
      <w:r>
        <w:rPr>
          <w:rFonts w:ascii="Times New Roman" w:cs="Times New Roman" w:eastAsia="Times New Roman" w:hAnsi="Times New Roman"/>
          <w:sz w:val="22"/>
          <w:szCs w:val="22"/>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1" w:lineRule="exact"/>
        <w:rPr>
          <w:sz w:val="20"/>
          <w:szCs w:val="20"/>
          <w:color w:val="auto"/>
        </w:rPr>
      </w:pPr>
    </w:p>
    <w:p>
      <w:pPr>
        <w:jc w:val="both"/>
        <w:ind w:left="200" w:right="219" w:firstLine="1296"/>
        <w:spacing w:after="0" w:line="250" w:lineRule="auto"/>
        <w:rPr>
          <w:sz w:val="20"/>
          <w:szCs w:val="20"/>
          <w:color w:val="auto"/>
        </w:rPr>
      </w:pPr>
      <w:r>
        <w:rPr>
          <w:rFonts w:ascii="Times New Roman" w:cs="Times New Roman" w:eastAsia="Times New Roman" w:hAnsi="Times New Roman"/>
          <w:sz w:val="22"/>
          <w:szCs w:val="22"/>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1"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No Waiver, Remedies</w:t>
      </w:r>
      <w:r>
        <w:rPr>
          <w:rFonts w:ascii="Times New Roman" w:cs="Times New Roman" w:eastAsia="Times New Roman" w:hAnsi="Times New Roman"/>
          <w:sz w:val="22"/>
          <w:szCs w:val="22"/>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81"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u w:val="single" w:color="auto"/>
          <w:color w:val="auto"/>
        </w:rPr>
        <w:t>Continuing Guarantee; Transfer of Interest</w:t>
      </w:r>
      <w:r>
        <w:rPr>
          <w:rFonts w:ascii="Times New Roman" w:cs="Times New Roman" w:eastAsia="Times New Roman" w:hAnsi="Times New Roman"/>
          <w:sz w:val="22"/>
          <w:szCs w:val="22"/>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each of the Seventh Amended and Restated Revolving Credit Agreement dated as of May 8, 2024 by and among the Issuer, Waste Management of Canada Corporation, WM Quebec Inc., the Guarantor (as guarantor), certain banks party thereto, and Bank of America, N.A., as administrative agent (or under any replacement or new principal credit facility of the Issuer) and the Term Credit Agreement dated as of August 28, 2024 by and among the Issuer, the Guarantor (as guarantor), certain banks party thereto and JPMorgan Chase Bank, N.A., as administrative agent, (ii) be binding upon the Guarantor, its successors and assigns, and (iii) inure to the benefit of and be enforceable by any holder of Debt Securities, the Trustee, and by their respective successors, transferees, and assigns.</w:t>
      </w:r>
    </w:p>
    <w:p>
      <w:pPr>
        <w:spacing w:after="0" w:line="244"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Reinstatement</w:t>
      </w:r>
      <w:r>
        <w:rPr>
          <w:rFonts w:ascii="Times New Roman" w:cs="Times New Roman" w:eastAsia="Times New Roman" w:hAnsi="Times New Roman"/>
          <w:sz w:val="22"/>
          <w:szCs w:val="22"/>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619760</wp:posOffset>
            </wp:positionV>
            <wp:extent cx="545211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78" w:name="page279"/>
    <w:bookmarkEnd w:id="278"/>
    <w:p>
      <w:pPr>
        <w:jc w:val="both"/>
        <w:ind w:left="200" w:right="219"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6"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611505</wp:posOffset>
            </wp:positionV>
            <wp:extent cx="5452110"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79" w:name="page280"/>
    <w:bookmarkEnd w:id="279"/>
    <w:p>
      <w:pPr>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Guarantor has caused this Guarantee to be duly executed and delivered by its officer thereunto duly authorized as of the date first above written.</w:t>
      </w:r>
    </w:p>
    <w:p>
      <w:pPr>
        <w:spacing w:after="0" w:line="200" w:lineRule="exact"/>
        <w:rPr>
          <w:sz w:val="20"/>
          <w:szCs w:val="20"/>
          <w:color w:val="auto"/>
        </w:rPr>
      </w:pPr>
    </w:p>
    <w:p>
      <w:pPr>
        <w:spacing w:after="0" w:line="25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auto"/>
        </w:rPr>
        <w:t>WASTE MANAGEMENT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700"/>
        <w:spacing w:after="0"/>
        <w:tabs>
          <w:tab w:leader="none" w:pos="5220" w:val="left"/>
        </w:tabs>
        <w:rPr>
          <w:sz w:val="20"/>
          <w:szCs w:val="20"/>
          <w:color w:val="auto"/>
        </w:rPr>
      </w:pPr>
      <w:r>
        <w:rPr>
          <w:rFonts w:ascii="Times New Roman" w:cs="Times New Roman" w:eastAsia="Times New Roman" w:hAnsi="Times New Roman"/>
          <w:sz w:val="22"/>
          <w:szCs w:val="22"/>
          <w:color w:val="auto"/>
        </w:rPr>
        <w:t>By:</w:t>
        <w:tab/>
        <w:t>/s/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-13970</wp:posOffset>
            </wp:positionV>
            <wp:extent cx="115951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3">
                      <a:extLst>
                        <a:ext uri="{28A0092B-C50C-407E-A947-70E740481C1C}"/>
                      </a:extLst>
                    </a:blip>
                    <a:srcRect/>
                    <a:stretch>
                      <a:fillRect/>
                    </a:stretch>
                  </pic:blipFill>
                  <pic:spPr bwMode="auto">
                    <a:xfrm>
                      <a:off x="0" y="0"/>
                      <a:ext cx="1159510" cy="8890"/>
                    </a:xfrm>
                    <a:prstGeom prst="rect">
                      <a:avLst/>
                    </a:prstGeom>
                    <a:noFill/>
                  </pic:spPr>
                </pic:pic>
              </a:graphicData>
            </a:graphic>
          </wp:anchor>
        </w:drawing>
      </w:r>
    </w:p>
    <w:p>
      <w:pPr>
        <w:spacing w:after="0" w:line="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Leslie K. Nagy</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700"/>
        <w:spacing w:after="0"/>
        <w:tabs>
          <w:tab w:leader="none" w:pos="52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-13970</wp:posOffset>
            </wp:positionV>
            <wp:extent cx="9486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4">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spacing w:after="0" w:line="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Courtney A. Tippy</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Guarantee</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(5.350% Senior Notes due 2054)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80" w:name="page281"/>
    <w:bookmarkEnd w:id="280"/>
    <w:p>
      <w:pPr>
        <w:jc w:val="right"/>
        <w:ind w:right="219"/>
        <w:spacing w:after="0"/>
        <w:rPr>
          <w:sz w:val="20"/>
          <w:szCs w:val="20"/>
          <w:color w:val="auto"/>
        </w:rPr>
      </w:pPr>
      <w:r>
        <w:rPr>
          <w:rFonts w:ascii="Times New Roman" w:cs="Times New Roman" w:eastAsia="Times New Roman" w:hAnsi="Times New Roman"/>
          <w:sz w:val="19"/>
          <w:szCs w:val="19"/>
          <w:b w:val="1"/>
          <w:bCs w:val="1"/>
          <w:color w:val="auto"/>
        </w:rPr>
        <w:t>Exhibit 10.10</w:t>
      </w:r>
    </w:p>
    <w:p>
      <w:pPr>
        <w:spacing w:after="0" w:line="21"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9"/>
          <w:szCs w:val="19"/>
          <w:b w:val="1"/>
          <w:bCs w:val="1"/>
          <w:color w:val="auto"/>
        </w:rPr>
        <w:t>Execution Version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 NO. 1 TO CREDIT AGREEMENT</w:t>
      </w:r>
    </w:p>
    <w:p>
      <w:pPr>
        <w:spacing w:after="0" w:line="229"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AMENDMENT NO. 1 TO CREDIT AGREEMENT</w:t>
      </w:r>
      <w:r>
        <w:rPr>
          <w:rFonts w:ascii="Times New Roman" w:cs="Times New Roman" w:eastAsia="Times New Roman" w:hAnsi="Times New Roman"/>
          <w:sz w:val="20"/>
          <w:szCs w:val="20"/>
          <w:color w:val="auto"/>
        </w:rPr>
        <w:t>, dated as of November 22, 2024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xml:space="preserve">”) is made among </w:t>
      </w:r>
      <w:r>
        <w:rPr>
          <w:rFonts w:ascii="Times New Roman" w:cs="Times New Roman" w:eastAsia="Times New Roman" w:hAnsi="Times New Roman"/>
          <w:sz w:val="20"/>
          <w:szCs w:val="20"/>
          <w:b w:val="1"/>
          <w:bCs w:val="1"/>
          <w:color w:val="auto"/>
        </w:rPr>
        <w:t>WASTE MANAGEMENT,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WASTE MANAGEMENT OF CANADA CORPORATION</w:t>
      </w:r>
      <w:r>
        <w:rPr>
          <w:rFonts w:ascii="Times New Roman" w:cs="Times New Roman" w:eastAsia="Times New Roman" w:hAnsi="Times New Roman"/>
          <w:sz w:val="20"/>
          <w:szCs w:val="20"/>
          <w:color w:val="auto"/>
        </w:rPr>
        <w:t>, a Nova Scotia unlimited company (“</w:t>
      </w:r>
      <w:r>
        <w:rPr>
          <w:rFonts w:ascii="Times New Roman" w:cs="Times New Roman" w:eastAsia="Times New Roman" w:hAnsi="Times New Roman"/>
          <w:sz w:val="20"/>
          <w:szCs w:val="20"/>
          <w:u w:val="single" w:color="auto"/>
          <w:color w:val="auto"/>
        </w:rPr>
        <w:t>WMOCC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WM QUEBEC INC.</w:t>
      </w:r>
      <w:r>
        <w:rPr>
          <w:rFonts w:ascii="Times New Roman" w:cs="Times New Roman" w:eastAsia="Times New Roman" w:hAnsi="Times New Roman"/>
          <w:sz w:val="20"/>
          <w:szCs w:val="20"/>
          <w:color w:val="auto"/>
        </w:rPr>
        <w:t>, a corporation incorporated under the laws of Canada (“</w:t>
      </w:r>
      <w:r>
        <w:rPr>
          <w:rFonts w:ascii="Times New Roman" w:cs="Times New Roman" w:eastAsia="Times New Roman" w:hAnsi="Times New Roman"/>
          <w:sz w:val="20"/>
          <w:szCs w:val="20"/>
          <w:u w:val="single" w:color="auto"/>
          <w:color w:val="auto"/>
        </w:rPr>
        <w:t>WMQ</w:t>
      </w:r>
      <w:r>
        <w:rPr>
          <w:rFonts w:ascii="Times New Roman" w:cs="Times New Roman" w:eastAsia="Times New Roman" w:hAnsi="Times New Roman"/>
          <w:sz w:val="20"/>
          <w:szCs w:val="20"/>
          <w:color w:val="auto"/>
        </w:rPr>
        <w:t>”, and together with WMOCC, the “</w:t>
      </w:r>
      <w:r>
        <w:rPr>
          <w:rFonts w:ascii="Times New Roman" w:cs="Times New Roman" w:eastAsia="Times New Roman" w:hAnsi="Times New Roman"/>
          <w:sz w:val="20"/>
          <w:szCs w:val="20"/>
          <w:u w:val="single" w:color="auto"/>
          <w:color w:val="auto"/>
        </w:rPr>
        <w:t>Canadian Borrowers</w:t>
      </w:r>
      <w:r>
        <w:rPr>
          <w:rFonts w:ascii="Times New Roman" w:cs="Times New Roman" w:eastAsia="Times New Roman" w:hAnsi="Times New Roman"/>
          <w:sz w:val="20"/>
          <w:szCs w:val="20"/>
          <w:color w:val="auto"/>
        </w:rPr>
        <w:t>”, and the Canadian Borrowers together with the Company,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WASTE MANAGEMENT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HOLDINGS, INC.</w:t>
      </w:r>
      <w:r>
        <w:rPr>
          <w:rFonts w:ascii="Times New Roman" w:cs="Times New Roman" w:eastAsia="Times New Roman" w:hAnsi="Times New Roman"/>
          <w:sz w:val="20"/>
          <w:szCs w:val="20"/>
          <w:color w:val="auto"/>
        </w:rPr>
        <w:t>, a wholly-owned Subsidiary of the Company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BANK OF AMERICA, N.A.</w:t>
      </w:r>
      <w:r>
        <w:rPr>
          <w:rFonts w:ascii="Times New Roman" w:cs="Times New Roman" w:eastAsia="Times New Roman" w:hAnsi="Times New Roman"/>
          <w:sz w:val="20"/>
          <w:szCs w:val="20"/>
          <w:color w:val="auto"/>
        </w:rPr>
        <w:t>, in its capacity as administrative agent for the Banks (in such capacity,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and the Banks party hereto. Capitalized terms used but not otherwise defined herein have the respective meanings ascribed to them in the Credit Agreement described below.</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left="200" w:right="219" w:firstLine="657"/>
        <w:spacing w:after="0" w:line="245" w:lineRule="auto"/>
        <w:tabs>
          <w:tab w:leader="none" w:pos="1496"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the Guarantor, the Administrative Agent and the Banks have entered into that certain Seventh Amended and Restated Revolving Credit Agreement dated as of May 8, 2024 (as amended, restated, supplemented or otherwise modified prior to the date hereof immediately prior to the effectiveness of this Amendment,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the Existing Credit Agreement as amended by this Amendment,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pursuant to which the Banks have made available to the Borrowers a revolving credit facility with a swing line sublimit and a letter of credit sublimit;</w:t>
      </w:r>
    </w:p>
    <w:p>
      <w:pPr>
        <w:spacing w:after="0" w:line="184" w:lineRule="exact"/>
        <w:rPr>
          <w:rFonts w:ascii="Times New Roman" w:cs="Times New Roman" w:eastAsia="Times New Roman" w:hAnsi="Times New Roman"/>
          <w:sz w:val="20"/>
          <w:szCs w:val="20"/>
          <w:color w:val="auto"/>
        </w:rPr>
      </w:pPr>
    </w:p>
    <w:p>
      <w:pPr>
        <w:jc w:val="both"/>
        <w:ind w:left="200" w:right="219" w:firstLine="657"/>
        <w:spacing w:after="0" w:line="254" w:lineRule="auto"/>
        <w:tabs>
          <w:tab w:leader="none" w:pos="1496"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have advised the Administrative Agent and the Banks that they desire to amend certain provisions of the Existing Credit Agreement, and the Administrative Agent and the Majority Banks are willing to effect such amendment on the terms and conditions contained in this Amendment.</w:t>
      </w:r>
    </w:p>
    <w:p>
      <w:pPr>
        <w:spacing w:after="0" w:line="174" w:lineRule="exact"/>
        <w:rPr>
          <w:sz w:val="20"/>
          <w:szCs w:val="20"/>
          <w:color w:val="auto"/>
        </w:rPr>
      </w:pPr>
    </w:p>
    <w:p>
      <w:pPr>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In consideration of the premises and further valuable consideration, the receipt and sufficiency of which are hereby acknowledged, the parties hereto agree as follows:</w:t>
      </w:r>
    </w:p>
    <w:p>
      <w:pPr>
        <w:spacing w:after="0" w:line="159" w:lineRule="exact"/>
        <w:rPr>
          <w:sz w:val="20"/>
          <w:szCs w:val="20"/>
          <w:color w:val="auto"/>
        </w:rPr>
      </w:pPr>
    </w:p>
    <w:p>
      <w:pPr>
        <w:jc w:val="both"/>
        <w:ind w:left="200" w:right="219" w:firstLine="675"/>
        <w:spacing w:after="0" w:line="249" w:lineRule="auto"/>
        <w:tabs>
          <w:tab w:leader="none" w:pos="1496"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the Existing Credit Agreement</w:t>
      </w:r>
      <w:r>
        <w:rPr>
          <w:rFonts w:ascii="Times New Roman" w:cs="Times New Roman" w:eastAsia="Times New Roman" w:hAnsi="Times New Roman"/>
          <w:sz w:val="20"/>
          <w:szCs w:val="20"/>
          <w:color w:val="auto"/>
        </w:rPr>
        <w:t>. Subject to and in accordance with the terms and conditions set forth herein and in reliance upon the representations and warranties set forth herein, the parties hereto hereby agree that as of the date hereof, the Existing Credit Agreement is hereby amended as follows:</w:t>
      </w:r>
    </w:p>
    <w:p>
      <w:pPr>
        <w:spacing w:after="0" w:line="180" w:lineRule="exact"/>
        <w:rPr>
          <w:sz w:val="20"/>
          <w:szCs w:val="20"/>
          <w:color w:val="auto"/>
        </w:rPr>
      </w:pPr>
    </w:p>
    <w:p>
      <w:pPr>
        <w:ind w:left="1500" w:right="239" w:hanging="643"/>
        <w:spacing w:after="0" w:line="269" w:lineRule="auto"/>
        <w:tabs>
          <w:tab w:leader="none" w:pos="1500"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§1.1</w:t>
      </w:r>
      <w:r>
        <w:rPr>
          <w:rFonts w:ascii="Times New Roman" w:cs="Times New Roman" w:eastAsia="Times New Roman" w:hAnsi="Times New Roman"/>
          <w:sz w:val="20"/>
          <w:szCs w:val="20"/>
          <w:color w:val="auto"/>
        </w:rPr>
        <w:t xml:space="preserve"> of the Existing Credit Agreement is hereby amended by adding the following new definition in appropriate alphabetical order to read in its entirety as follows:</w:t>
      </w:r>
    </w:p>
    <w:p>
      <w:pPr>
        <w:spacing w:after="0" w:line="155" w:lineRule="exact"/>
        <w:rPr>
          <w:sz w:val="20"/>
          <w:szCs w:val="20"/>
          <w:color w:val="auto"/>
        </w:rPr>
      </w:pPr>
    </w:p>
    <w:p>
      <w:pPr>
        <w:jc w:val="both"/>
        <w:ind w:left="860" w:right="859" w:firstLine="648"/>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Designated Lease Finance Transaction</w:t>
      </w:r>
      <w:r>
        <w:rPr>
          <w:rFonts w:ascii="Times New Roman" w:cs="Times New Roman" w:eastAsia="Times New Roman" w:hAnsi="Times New Roman"/>
          <w:sz w:val="19"/>
          <w:szCs w:val="19"/>
          <w:color w:val="auto"/>
        </w:rPr>
        <w:t>’ means any financing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transaction or series of financing transactions whereby a Borrower or any Subsidiary owns or acquires any assets or group of assets, including real property, and then or thereafter leases such assets or property, or any interest therein, to any third-party financing entity and then or thereafter acquires a leasehold or similar interest in such assets or property or any interest therein, including any right to acquire ownership of such assets or property during the term of or upon the expiration of such leasehold or similar interest.”</w:t>
      </w:r>
    </w:p>
    <w:p>
      <w:pPr>
        <w:spacing w:after="0" w:line="71" w:lineRule="exact"/>
        <w:rPr>
          <w:sz w:val="20"/>
          <w:szCs w:val="20"/>
          <w:color w:val="auto"/>
        </w:rPr>
      </w:pPr>
    </w:p>
    <w:p>
      <w:pPr>
        <w:ind w:left="1500" w:right="219" w:hanging="643"/>
        <w:spacing w:after="0" w:line="269" w:lineRule="auto"/>
        <w:tabs>
          <w:tab w:leader="none" w:pos="1500"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§8.4(b)</w:t>
      </w:r>
      <w:r>
        <w:rPr>
          <w:rFonts w:ascii="Times New Roman" w:cs="Times New Roman" w:eastAsia="Times New Roman" w:hAnsi="Times New Roman"/>
          <w:sz w:val="20"/>
          <w:szCs w:val="20"/>
          <w:color w:val="auto"/>
        </w:rPr>
        <w:t xml:space="preserve"> of the Existing Credit Agreement is hereby amended to add a new clause (v) thereto immediately succeeding clause (iv) thereof to read in its entirety as set forth below:</w:t>
      </w:r>
    </w:p>
    <w:p>
      <w:pPr>
        <w:spacing w:after="0" w:line="159" w:lineRule="exact"/>
        <w:rPr>
          <w:sz w:val="20"/>
          <w:szCs w:val="20"/>
          <w:color w:val="auto"/>
        </w:rPr>
      </w:pPr>
    </w:p>
    <w:p>
      <w:pPr>
        <w:ind w:left="2160"/>
        <w:spacing w:after="0"/>
        <w:tabs>
          <w:tab w:leader="none" w:pos="2780" w:val="left"/>
        </w:tabs>
        <w:rPr>
          <w:sz w:val="20"/>
          <w:szCs w:val="20"/>
          <w:color w:val="auto"/>
        </w:rPr>
      </w:pPr>
      <w:r>
        <w:rPr>
          <w:rFonts w:ascii="Times New Roman" w:cs="Times New Roman" w:eastAsia="Times New Roman" w:hAnsi="Times New Roman"/>
          <w:sz w:val="20"/>
          <w:szCs w:val="20"/>
          <w:color w:val="auto"/>
        </w:rPr>
        <w:t>“(v)</w:t>
      </w:r>
      <w:r>
        <w:rPr>
          <w:sz w:val="20"/>
          <w:szCs w:val="20"/>
          <w:color w:val="auto"/>
        </w:rPr>
        <w:tab/>
      </w:r>
      <w:r>
        <w:rPr>
          <w:rFonts w:ascii="Times New Roman" w:cs="Times New Roman" w:eastAsia="Times New Roman" w:hAnsi="Times New Roman"/>
          <w:sz w:val="20"/>
          <w:szCs w:val="20"/>
          <w:color w:val="auto"/>
        </w:rPr>
        <w:t>pursuant to a Permitted Designated Lease Finance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81" w:name="page282"/>
    <w:bookmarkEnd w:id="281"/>
    <w:p>
      <w:pPr>
        <w:jc w:val="both"/>
        <w:ind w:left="860" w:right="219" w:firstLine="648"/>
        <w:spacing w:after="0" w:line="253" w:lineRule="auto"/>
        <w:rPr>
          <w:sz w:val="20"/>
          <w:szCs w:val="20"/>
          <w:color w:val="auto"/>
        </w:rPr>
      </w:pPr>
      <w:r>
        <w:rPr>
          <w:rFonts w:ascii="Times New Roman" w:cs="Times New Roman" w:eastAsia="Times New Roman" w:hAnsi="Times New Roman"/>
          <w:sz w:val="20"/>
          <w:szCs w:val="20"/>
          <w:color w:val="auto"/>
        </w:rPr>
        <w:t>As conforming changes for the amendment set forth in this clause (b), the “or” at the end of clause (iii) of such §8.4(b) is deleted, and the period at the end of clause (iv) of such §8.4(b) is deleted and is replaced by “, or”.</w:t>
      </w:r>
    </w:p>
    <w:p>
      <w:pPr>
        <w:spacing w:after="0" w:line="200" w:lineRule="exact"/>
        <w:rPr>
          <w:sz w:val="20"/>
          <w:szCs w:val="20"/>
          <w:color w:val="auto"/>
        </w:rPr>
      </w:pPr>
    </w:p>
    <w:p>
      <w:pPr>
        <w:spacing w:after="0" w:line="219" w:lineRule="exact"/>
        <w:rPr>
          <w:sz w:val="20"/>
          <w:szCs w:val="20"/>
          <w:color w:val="auto"/>
        </w:rPr>
      </w:pPr>
    </w:p>
    <w:p>
      <w:pPr>
        <w:ind w:left="1500" w:hanging="625"/>
        <w:spacing w:after="0"/>
        <w:tabs>
          <w:tab w:leader="none" w:pos="1500"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 to Amendment</w:t>
      </w:r>
      <w:r>
        <w:rPr>
          <w:rFonts w:ascii="Times New Roman" w:cs="Times New Roman" w:eastAsia="Times New Roman" w:hAnsi="Times New Roman"/>
          <w:sz w:val="20"/>
          <w:szCs w:val="20"/>
          <w:color w:val="auto"/>
        </w:rPr>
        <w:t>.  The effectiveness of this Amendment is subject to</w:t>
      </w:r>
    </w:p>
    <w:p>
      <w:pPr>
        <w:spacing w:after="0" w:line="21" w:lineRule="exact"/>
        <w:rPr>
          <w:rFonts w:ascii="Times New Roman" w:cs="Times New Roman" w:eastAsia="Times New Roman" w:hAnsi="Times New Roman"/>
          <w:sz w:val="20"/>
          <w:szCs w:val="20"/>
          <w:color w:val="auto"/>
        </w:rPr>
      </w:pPr>
    </w:p>
    <w:p>
      <w:pPr>
        <w:jc w:val="both"/>
        <w:ind w:left="200" w:right="219" w:firstLine="9"/>
        <w:spacing w:after="0"/>
        <w:tabs>
          <w:tab w:leader="none" w:pos="470"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accuracy of the representations and warranties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below on the date hereof, (b) the Administrative Agent’s receipt of counterparts of this Amendment, duly executed and delivered by the Borrowers, the Guarantor, the Administrative Agent and the Majority Banks, and (c) unless waived by the Administrative Agent, the payment of all fees and expenses of the Administrative Agent and the Banks (including the reasonable fees and expenses of counsel to the Administrative Agent to the extent invoiced prior to the date hereof) in connection with this Amendment.</w:t>
      </w:r>
    </w:p>
    <w:p>
      <w:pPr>
        <w:spacing w:after="0" w:line="191" w:lineRule="exact"/>
        <w:rPr>
          <w:rFonts w:ascii="Times New Roman" w:cs="Times New Roman" w:eastAsia="Times New Roman" w:hAnsi="Times New Roman"/>
          <w:sz w:val="20"/>
          <w:szCs w:val="20"/>
          <w:color w:val="auto"/>
        </w:rPr>
      </w:pPr>
    </w:p>
    <w:p>
      <w:pPr>
        <w:jc w:val="both"/>
        <w:ind w:left="200" w:right="219" w:firstLine="675"/>
        <w:spacing w:after="0" w:line="254" w:lineRule="auto"/>
        <w:tabs>
          <w:tab w:leader="none" w:pos="1496"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In order to induce the Administrative Agent and the Banks to enter into this Amendment, each Borrower and the Guarantor represents and warrants to the Administrative Agent and the Banks as follows:</w:t>
      </w:r>
    </w:p>
    <w:p>
      <w:pPr>
        <w:spacing w:after="0" w:line="174" w:lineRule="exact"/>
        <w:rPr>
          <w:sz w:val="20"/>
          <w:szCs w:val="20"/>
          <w:color w:val="auto"/>
        </w:rPr>
      </w:pPr>
    </w:p>
    <w:p>
      <w:pPr>
        <w:jc w:val="both"/>
        <w:ind w:left="1500" w:right="219" w:hanging="643"/>
        <w:spacing w:after="0" w:line="243" w:lineRule="auto"/>
        <w:tabs>
          <w:tab w:leader="none" w:pos="1500"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such Borrower and the Guarantor (as applicable) contained in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of the Credit Agreement and in the other Loan Documents are true and correct in all material respects (except, if a qualifier relating to materiality, Material Adverse Effect or a similar concept applies, such representation or warranty is true and correct in all respects) on and as of the date hereof, except to the extent that such representations and warranties specifically refer to an earlier date, in which case they are true and correct in all material respects (except, if a qualifier relating to materiality, Material Adverse Effect or a similar concept applies, such representation or warranty is true and correct in all respects) as of such earlier date.</w:t>
      </w:r>
    </w:p>
    <w:p>
      <w:pPr>
        <w:spacing w:after="0" w:line="185" w:lineRule="exact"/>
        <w:rPr>
          <w:rFonts w:ascii="Times New Roman" w:cs="Times New Roman" w:eastAsia="Times New Roman" w:hAnsi="Times New Roman"/>
          <w:sz w:val="20"/>
          <w:szCs w:val="20"/>
          <w:color w:val="auto"/>
        </w:rPr>
      </w:pPr>
    </w:p>
    <w:p>
      <w:pPr>
        <w:jc w:val="both"/>
        <w:ind w:left="1500" w:right="219" w:hanging="643"/>
        <w:spacing w:after="0" w:line="249" w:lineRule="auto"/>
        <w:tabs>
          <w:tab w:leader="none" w:pos="1500"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has been duly authorized, executed and delivered by, and constitutes a legal, valid and binding obligation of, such Borrower and the Guarantor, except as may be limited by general principles of equity or by the effect of any applicable bankruptcy, insolvency, reorganization, moratorium or similar law affecting creditors’ rights generally.</w:t>
      </w:r>
    </w:p>
    <w:p>
      <w:pPr>
        <w:spacing w:after="0" w:line="179" w:lineRule="exact"/>
        <w:rPr>
          <w:rFonts w:ascii="Times New Roman" w:cs="Times New Roman" w:eastAsia="Times New Roman" w:hAnsi="Times New Roman"/>
          <w:sz w:val="20"/>
          <w:szCs w:val="20"/>
          <w:color w:val="auto"/>
        </w:rPr>
      </w:pPr>
    </w:p>
    <w:p>
      <w:pPr>
        <w:jc w:val="both"/>
        <w:ind w:left="1500" w:right="219" w:hanging="643"/>
        <w:spacing w:after="0" w:line="254" w:lineRule="auto"/>
        <w:tabs>
          <w:tab w:leader="none" w:pos="1500"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 as of the date hereof or would result after giving effect to this Amendment and the transactions contemplated hereby.</w:t>
      </w:r>
    </w:p>
    <w:p>
      <w:pPr>
        <w:spacing w:after="0" w:line="174" w:lineRule="exact"/>
        <w:rPr>
          <w:rFonts w:ascii="Times New Roman" w:cs="Times New Roman" w:eastAsia="Times New Roman" w:hAnsi="Times New Roman"/>
          <w:sz w:val="20"/>
          <w:szCs w:val="20"/>
          <w:color w:val="auto"/>
        </w:rPr>
      </w:pPr>
    </w:p>
    <w:p>
      <w:pPr>
        <w:jc w:val="both"/>
        <w:ind w:left="200" w:right="219" w:firstLine="669"/>
        <w:spacing w:after="0" w:line="256" w:lineRule="auto"/>
        <w:tabs>
          <w:tab w:leader="none" w:pos="1496" w:val="left"/>
        </w:tabs>
        <w:numPr>
          <w:ilvl w:val="1"/>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Amendment, together with the Loan Documents (collectively, the “</w:t>
      </w:r>
      <w:r>
        <w:rPr>
          <w:rFonts w:ascii="Times New Roman" w:cs="Times New Roman" w:eastAsia="Times New Roman" w:hAnsi="Times New Roman"/>
          <w:sz w:val="19"/>
          <w:szCs w:val="19"/>
          <w:u w:val="single" w:color="auto"/>
          <w:color w:val="auto"/>
        </w:rPr>
        <w:t>Relevant Documents</w:t>
      </w:r>
      <w:r>
        <w:rPr>
          <w:rFonts w:ascii="Times New Roman" w:cs="Times New Roman" w:eastAsia="Times New Roman" w:hAnsi="Times New Roman"/>
          <w:sz w:val="19"/>
          <w:szCs w:val="19"/>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and in accordance with </w:t>
      </w:r>
      <w:r>
        <w:rPr>
          <w:rFonts w:ascii="Times New Roman" w:cs="Times New Roman" w:eastAsia="Times New Roman" w:hAnsi="Times New Roman"/>
          <w:sz w:val="19"/>
          <w:szCs w:val="19"/>
          <w:u w:val="single" w:color="auto"/>
          <w:color w:val="auto"/>
        </w:rPr>
        <w:t>§24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§15.9</w:t>
      </w:r>
      <w:r>
        <w:rPr>
          <w:rFonts w:ascii="Times New Roman" w:cs="Times New Roman" w:eastAsia="Times New Roman" w:hAnsi="Times New Roman"/>
          <w:sz w:val="19"/>
          <w:szCs w:val="19"/>
          <w:color w:val="auto"/>
        </w:rPr>
        <w:t xml:space="preserve"> of the Credit Agreement.</w:t>
      </w:r>
    </w:p>
    <w:p>
      <w:pPr>
        <w:spacing w:after="0" w:line="180" w:lineRule="exact"/>
        <w:rPr>
          <w:rFonts w:ascii="Times New Roman" w:cs="Times New Roman" w:eastAsia="Times New Roman" w:hAnsi="Times New Roman"/>
          <w:sz w:val="19"/>
          <w:szCs w:val="19"/>
          <w:color w:val="auto"/>
        </w:rPr>
      </w:pPr>
    </w:p>
    <w:p>
      <w:pPr>
        <w:jc w:val="both"/>
        <w:ind w:left="200" w:right="219" w:firstLine="669"/>
        <w:spacing w:after="0" w:line="249" w:lineRule="auto"/>
        <w:tabs>
          <w:tab w:leader="none" w:pos="1496" w:val="left"/>
        </w:tabs>
        <w:numPr>
          <w:ilvl w:val="1"/>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Full Force and Effect of Amendment</w:t>
      </w:r>
      <w:r>
        <w:rPr>
          <w:rFonts w:ascii="Times New Roman" w:cs="Times New Roman" w:eastAsia="Times New Roman" w:hAnsi="Times New Roman"/>
          <w:sz w:val="20"/>
          <w:szCs w:val="20"/>
          <w:color w:val="auto"/>
        </w:rPr>
        <w:t>. Except as hereby specifically amended, modified or supplemented, the Credit Agreement and all other Loan Documents are hereby confirmed and ratified in all respects and shall be and remain in full force and effect according to their respective terms. The execution, delivery and performance of this Amendment shall not constitute a waiver of any provision of, or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334010</wp:posOffset>
            </wp:positionV>
            <wp:extent cx="5452110"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82" w:name="page283"/>
    <w:bookmarkEnd w:id="282"/>
    <w:p>
      <w:pPr>
        <w:ind w:left="200" w:right="219"/>
        <w:spacing w:after="0" w:line="268" w:lineRule="auto"/>
        <w:rPr>
          <w:sz w:val="20"/>
          <w:szCs w:val="20"/>
          <w:color w:val="auto"/>
        </w:rPr>
      </w:pPr>
      <w:r>
        <w:rPr>
          <w:rFonts w:ascii="Times New Roman" w:cs="Times New Roman" w:eastAsia="Times New Roman" w:hAnsi="Times New Roman"/>
          <w:sz w:val="20"/>
          <w:szCs w:val="20"/>
          <w:color w:val="auto"/>
        </w:rPr>
        <w:t>as a waiver of any right, power or remedy of any Bank under the Credit Agreement or any of the other Loan Documents.</w:t>
      </w:r>
    </w:p>
    <w:p>
      <w:pPr>
        <w:spacing w:after="0" w:line="161" w:lineRule="exact"/>
        <w:rPr>
          <w:sz w:val="20"/>
          <w:szCs w:val="20"/>
          <w:color w:val="auto"/>
        </w:rPr>
      </w:pPr>
    </w:p>
    <w:p>
      <w:pPr>
        <w:jc w:val="both"/>
        <w:ind w:left="200" w:right="219" w:firstLine="669"/>
        <w:spacing w:after="0" w:line="246" w:lineRule="auto"/>
        <w:tabs>
          <w:tab w:leader="none" w:pos="1496"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any number of counterparts, each of which shall be deemed an original as against any party whose signature appears thereon, and all of which shall together constitute one and the same instrument. Delivery of an executed counterpart of a signature page of this Amendment by telecopy, facsimile or other electronic transmission (including .PDF) shall be effective as delivery of a manually executed counterpart of this Amendment.</w:t>
      </w:r>
    </w:p>
    <w:p>
      <w:pPr>
        <w:spacing w:after="0" w:line="185"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7.</w:t>
      </w:r>
      <w:r>
        <w:rPr>
          <w:sz w:val="20"/>
          <w:szCs w:val="20"/>
          <w:color w:val="auto"/>
        </w:rPr>
        <w:tab/>
      </w:r>
      <w:r>
        <w:rPr>
          <w:rFonts w:ascii="Times New Roman" w:cs="Times New Roman" w:eastAsia="Times New Roman" w:hAnsi="Times New Roman"/>
          <w:sz w:val="20"/>
          <w:szCs w:val="20"/>
          <w:u w:val="single" w:color="auto"/>
          <w:color w:val="auto"/>
        </w:rPr>
        <w:t>Governing Law; Jurisdiction, Etc.</w:t>
      </w:r>
      <w:r>
        <w:rPr>
          <w:rFonts w:ascii="Times New Roman" w:cs="Times New Roman" w:eastAsia="Times New Roman" w:hAnsi="Times New Roman"/>
          <w:sz w:val="20"/>
          <w:szCs w:val="20"/>
          <w:color w:val="auto"/>
        </w:rPr>
        <w:t>.  THIS AMENDMENT SHALL BE GOVERNED BY,</w:t>
      </w:r>
    </w:p>
    <w:p>
      <w:pPr>
        <w:spacing w:after="0" w:line="22" w:lineRule="exact"/>
        <w:rPr>
          <w:sz w:val="20"/>
          <w:szCs w:val="20"/>
          <w:color w:val="auto"/>
        </w:rPr>
      </w:pPr>
    </w:p>
    <w:p>
      <w:pPr>
        <w:jc w:val="both"/>
        <w:ind w:left="200" w:right="219"/>
        <w:spacing w:after="0" w:line="242" w:lineRule="auto"/>
        <w:rPr>
          <w:sz w:val="20"/>
          <w:szCs w:val="20"/>
          <w:color w:val="auto"/>
        </w:rPr>
      </w:pPr>
      <w:r>
        <w:rPr>
          <w:rFonts w:ascii="Times New Roman" w:cs="Times New Roman" w:eastAsia="Times New Roman" w:hAnsi="Times New Roman"/>
          <w:sz w:val="20"/>
          <w:szCs w:val="20"/>
          <w:color w:val="auto"/>
        </w:rPr>
        <w:t xml:space="preserve">AND CONSTRUED IN ACCORDANCE WITH, THE LAWS OF THE STATE OF NEW YORK, AND SHALL FURTHER BE SUBJECT TO THE PROVISIONS OF </w:t>
      </w:r>
      <w:r>
        <w:rPr>
          <w:rFonts w:ascii="Times New Roman" w:cs="Times New Roman" w:eastAsia="Times New Roman" w:hAnsi="Times New Roman"/>
          <w:sz w:val="20"/>
          <w:szCs w:val="20"/>
          <w:u w:val="single" w:color="auto"/>
          <w:color w:val="auto"/>
        </w:rPr>
        <w:t>§25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§26</w:t>
      </w:r>
      <w:r>
        <w:rPr>
          <w:rFonts w:ascii="Times New Roman" w:cs="Times New Roman" w:eastAsia="Times New Roman" w:hAnsi="Times New Roman"/>
          <w:sz w:val="20"/>
          <w:szCs w:val="20"/>
          <w:color w:val="auto"/>
        </w:rPr>
        <w:t xml:space="preserve"> OF THE CREDIT AGREEMENT.</w:t>
      </w:r>
    </w:p>
    <w:p>
      <w:pPr>
        <w:spacing w:after="0" w:line="187" w:lineRule="exact"/>
        <w:rPr>
          <w:sz w:val="20"/>
          <w:szCs w:val="20"/>
          <w:color w:val="auto"/>
        </w:rPr>
      </w:pPr>
    </w:p>
    <w:p>
      <w:pPr>
        <w:jc w:val="both"/>
        <w:ind w:left="200" w:right="219" w:firstLine="669"/>
        <w:spacing w:after="0" w:line="254" w:lineRule="auto"/>
        <w:tabs>
          <w:tab w:leader="none" w:pos="1496"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References</w:t>
      </w:r>
      <w:r>
        <w:rPr>
          <w:rFonts w:ascii="Times New Roman" w:cs="Times New Roman" w:eastAsia="Times New Roman" w:hAnsi="Times New Roman"/>
          <w:sz w:val="20"/>
          <w:szCs w:val="20"/>
          <w:color w:val="auto"/>
        </w:rPr>
        <w:t>. This Amendment shall constitute a Loan Document and all references in any of the other Loan Documents to the “Credit Agreement” shall mean the Credit Agreement, as amended hereby.</w:t>
      </w:r>
    </w:p>
    <w:p>
      <w:pPr>
        <w:spacing w:after="0" w:line="174" w:lineRule="exact"/>
        <w:rPr>
          <w:rFonts w:ascii="Times New Roman" w:cs="Times New Roman" w:eastAsia="Times New Roman" w:hAnsi="Times New Roman"/>
          <w:sz w:val="20"/>
          <w:szCs w:val="20"/>
          <w:color w:val="auto"/>
        </w:rPr>
      </w:pPr>
    </w:p>
    <w:p>
      <w:pPr>
        <w:jc w:val="both"/>
        <w:ind w:left="200" w:right="219" w:firstLine="669"/>
        <w:spacing w:after="0" w:line="254" w:lineRule="auto"/>
        <w:tabs>
          <w:tab w:leader="none" w:pos="1496"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xml:space="preserve">. This Amendment shall be binding upon and inure to the benefit of the Borrowers, the Administrative Agent, the Banks and their respective successors and assignees to the extent such assignees are permitted assignees as provided in </w:t>
      </w:r>
      <w:r>
        <w:rPr>
          <w:rFonts w:ascii="Times New Roman" w:cs="Times New Roman" w:eastAsia="Times New Roman" w:hAnsi="Times New Roman"/>
          <w:sz w:val="20"/>
          <w:szCs w:val="20"/>
          <w:u w:val="single" w:color="auto"/>
          <w:color w:val="auto"/>
        </w:rPr>
        <w:t>§20</w:t>
      </w:r>
      <w:r>
        <w:rPr>
          <w:rFonts w:ascii="Times New Roman" w:cs="Times New Roman" w:eastAsia="Times New Roman" w:hAnsi="Times New Roman"/>
          <w:sz w:val="20"/>
          <w:szCs w:val="20"/>
          <w:color w:val="auto"/>
        </w:rPr>
        <w:t xml:space="preserve"> of the Credit Agreement.</w:t>
      </w:r>
    </w:p>
    <w:p>
      <w:pPr>
        <w:spacing w:after="0" w:line="174" w:lineRule="exact"/>
        <w:rPr>
          <w:rFonts w:ascii="Times New Roman" w:cs="Times New Roman" w:eastAsia="Times New Roman" w:hAnsi="Times New Roman"/>
          <w:sz w:val="20"/>
          <w:szCs w:val="20"/>
          <w:color w:val="auto"/>
        </w:rPr>
      </w:pPr>
    </w:p>
    <w:p>
      <w:pPr>
        <w:jc w:val="both"/>
        <w:ind w:left="200" w:right="219" w:firstLine="669"/>
        <w:spacing w:after="0" w:line="246" w:lineRule="auto"/>
        <w:tabs>
          <w:tab w:leader="none" w:pos="1496"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Amendment are severable and if any one clause or provision hereof shall be held invalid or unenforceable in 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Amendment in any jurisdiction.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 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83" w:name="page284"/>
    <w:bookmarkEnd w:id="283"/>
    <w:p>
      <w:pPr>
        <w:ind w:left="200" w:right="239" w:firstLine="648"/>
        <w:spacing w:after="0" w:line="272"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instrument to be made, executed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delivered by their duly authorized officers as of the day and year first above written.</w:t>
      </w:r>
    </w:p>
    <w:p>
      <w:pPr>
        <w:spacing w:after="0" w:line="16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u w:val="single" w:color="auto"/>
          <w:color w:val="auto"/>
        </w:rPr>
        <w:t>BORROWERS AND GUARANTOR</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3" w:lineRule="exact"/>
        <w:rPr>
          <w:sz w:val="20"/>
          <w:szCs w:val="20"/>
          <w:color w:val="auto"/>
        </w:rPr>
      </w:pPr>
    </w:p>
    <w:p>
      <w:pPr>
        <w:ind w:left="4100"/>
        <w:spacing w:after="0"/>
        <w:tabs>
          <w:tab w:leader="none" w:pos="4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2845435</wp:posOffset>
            </wp:positionH>
            <wp:positionV relativeFrom="paragraph">
              <wp:posOffset>-10795</wp:posOffset>
            </wp:positionV>
            <wp:extent cx="262255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9">
                      <a:extLst>
                        <a:ext uri="{28A0092B-C50C-407E-A947-70E740481C1C}"/>
                      </a:extLst>
                    </a:blip>
                    <a:srcRect/>
                    <a:stretch>
                      <a:fillRect/>
                    </a:stretch>
                  </pic:blipFill>
                  <pic:spPr bwMode="auto">
                    <a:xfrm>
                      <a:off x="0" y="0"/>
                      <a:ext cx="2622550" cy="8255"/>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Leslie K. Nagy</w:t>
      </w:r>
    </w:p>
    <w:p>
      <w:pPr>
        <w:ind w:left="4100"/>
        <w:spacing w:after="0"/>
        <w:tabs>
          <w:tab w:leader="none" w:pos="4700" w:val="left"/>
        </w:tabs>
        <w:rPr>
          <w:sz w:val="20"/>
          <w:szCs w:val="20"/>
          <w:color w:val="auto"/>
        </w:rPr>
      </w:pPr>
      <w:r>
        <w:rPr>
          <w:rFonts w:ascii="Times New Roman" w:cs="Times New Roman" w:eastAsia="Times New Roman" w:hAnsi="Times New Roman"/>
          <w:sz w:val="20"/>
          <w:szCs w:val="20"/>
          <w:color w:val="auto"/>
        </w:rPr>
        <w:t>Title:</w:t>
        <w:tab/>
        <w:t>Vice President &amp; Treasurer</w:t>
      </w:r>
    </w:p>
    <w:p>
      <w:pPr>
        <w:spacing w:after="0" w:line="200" w:lineRule="exact"/>
        <w:rPr>
          <w:sz w:val="20"/>
          <w:szCs w:val="20"/>
          <w:color w:val="auto"/>
        </w:rPr>
      </w:pPr>
    </w:p>
    <w:p>
      <w:pPr>
        <w:spacing w:after="0" w:line="23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WASTE MANAGEMENT OF CANADA</w:t>
      </w:r>
    </w:p>
    <w:p>
      <w:pPr>
        <w:spacing w:after="0" w:line="2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CORPORATION</w:t>
      </w:r>
    </w:p>
    <w:p>
      <w:pPr>
        <w:spacing w:after="0" w:line="207" w:lineRule="exact"/>
        <w:rPr>
          <w:sz w:val="20"/>
          <w:szCs w:val="20"/>
          <w:color w:val="auto"/>
        </w:rPr>
      </w:pPr>
    </w:p>
    <w:p>
      <w:pPr>
        <w:ind w:left="4100"/>
        <w:spacing w:after="0"/>
        <w:tabs>
          <w:tab w:leader="none" w:pos="4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2845435</wp:posOffset>
            </wp:positionH>
            <wp:positionV relativeFrom="paragraph">
              <wp:posOffset>-10795</wp:posOffset>
            </wp:positionV>
            <wp:extent cx="262255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0">
                      <a:extLst>
                        <a:ext uri="{28A0092B-C50C-407E-A947-70E740481C1C}"/>
                      </a:extLst>
                    </a:blip>
                    <a:srcRect/>
                    <a:stretch>
                      <a:fillRect/>
                    </a:stretch>
                  </pic:blipFill>
                  <pic:spPr bwMode="auto">
                    <a:xfrm>
                      <a:off x="0" y="0"/>
                      <a:ext cx="2622550" cy="8255"/>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Leslie K. Nagy</w:t>
      </w:r>
    </w:p>
    <w:p>
      <w:pPr>
        <w:ind w:left="4100"/>
        <w:spacing w:after="0"/>
        <w:tabs>
          <w:tab w:leader="none" w:pos="4700" w:val="left"/>
        </w:tabs>
        <w:rPr>
          <w:sz w:val="20"/>
          <w:szCs w:val="20"/>
          <w:color w:val="auto"/>
        </w:rPr>
      </w:pPr>
      <w:r>
        <w:rPr>
          <w:rFonts w:ascii="Times New Roman" w:cs="Times New Roman" w:eastAsia="Times New Roman" w:hAnsi="Times New Roman"/>
          <w:sz w:val="20"/>
          <w:szCs w:val="20"/>
          <w:color w:val="auto"/>
        </w:rPr>
        <w:t>Title:</w:t>
        <w:tab/>
        <w:t>Vice President &amp; Treasurer</w:t>
      </w:r>
    </w:p>
    <w:p>
      <w:pPr>
        <w:spacing w:after="0" w:line="200" w:lineRule="exact"/>
        <w:rPr>
          <w:sz w:val="20"/>
          <w:szCs w:val="20"/>
          <w:color w:val="auto"/>
        </w:rPr>
      </w:pPr>
    </w:p>
    <w:p>
      <w:pPr>
        <w:spacing w:after="0" w:line="23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WM QUEBEC INC.</w:t>
      </w:r>
    </w:p>
    <w:p>
      <w:pPr>
        <w:spacing w:after="0" w:line="233" w:lineRule="exact"/>
        <w:rPr>
          <w:sz w:val="20"/>
          <w:szCs w:val="20"/>
          <w:color w:val="auto"/>
        </w:rPr>
      </w:pPr>
    </w:p>
    <w:p>
      <w:pPr>
        <w:ind w:left="4100"/>
        <w:spacing w:after="0"/>
        <w:tabs>
          <w:tab w:leader="none" w:pos="4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2845435</wp:posOffset>
            </wp:positionH>
            <wp:positionV relativeFrom="paragraph">
              <wp:posOffset>-10795</wp:posOffset>
            </wp:positionV>
            <wp:extent cx="262255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1">
                      <a:extLst>
                        <a:ext uri="{28A0092B-C50C-407E-A947-70E740481C1C}"/>
                      </a:extLst>
                    </a:blip>
                    <a:srcRect/>
                    <a:stretch>
                      <a:fillRect/>
                    </a:stretch>
                  </pic:blipFill>
                  <pic:spPr bwMode="auto">
                    <a:xfrm>
                      <a:off x="0" y="0"/>
                      <a:ext cx="2622550" cy="8255"/>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Leslie K. Nagy</w:t>
      </w:r>
    </w:p>
    <w:p>
      <w:pPr>
        <w:ind w:left="4100"/>
        <w:spacing w:after="0"/>
        <w:tabs>
          <w:tab w:leader="none" w:pos="4700" w:val="left"/>
        </w:tabs>
        <w:rPr>
          <w:sz w:val="20"/>
          <w:szCs w:val="20"/>
          <w:color w:val="auto"/>
        </w:rPr>
      </w:pPr>
      <w:r>
        <w:rPr>
          <w:rFonts w:ascii="Times New Roman" w:cs="Times New Roman" w:eastAsia="Times New Roman" w:hAnsi="Times New Roman"/>
          <w:sz w:val="20"/>
          <w:szCs w:val="20"/>
          <w:color w:val="auto"/>
        </w:rPr>
        <w:t>Title:</w:t>
        <w:tab/>
        <w:t>Vice President &amp; Treasurer</w:t>
      </w:r>
    </w:p>
    <w:p>
      <w:pPr>
        <w:spacing w:after="0" w:line="200" w:lineRule="exact"/>
        <w:rPr>
          <w:sz w:val="20"/>
          <w:szCs w:val="20"/>
          <w:color w:val="auto"/>
        </w:rPr>
      </w:pPr>
    </w:p>
    <w:p>
      <w:pPr>
        <w:spacing w:after="0" w:line="23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WASTE MANAGEMENT HOLDINGS, INC.</w:t>
      </w:r>
    </w:p>
    <w:p>
      <w:pPr>
        <w:spacing w:after="0" w:line="233" w:lineRule="exact"/>
        <w:rPr>
          <w:sz w:val="20"/>
          <w:szCs w:val="20"/>
          <w:color w:val="auto"/>
        </w:rPr>
      </w:pPr>
    </w:p>
    <w:p>
      <w:pPr>
        <w:ind w:left="4100"/>
        <w:spacing w:after="0"/>
        <w:tabs>
          <w:tab w:leader="none" w:pos="4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2845435</wp:posOffset>
            </wp:positionH>
            <wp:positionV relativeFrom="paragraph">
              <wp:posOffset>-10795</wp:posOffset>
            </wp:positionV>
            <wp:extent cx="262255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2">
                      <a:extLst>
                        <a:ext uri="{28A0092B-C50C-407E-A947-70E740481C1C}"/>
                      </a:extLst>
                    </a:blip>
                    <a:srcRect/>
                    <a:stretch>
                      <a:fillRect/>
                    </a:stretch>
                  </pic:blipFill>
                  <pic:spPr bwMode="auto">
                    <a:xfrm>
                      <a:off x="0" y="0"/>
                      <a:ext cx="2622550" cy="8890"/>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Leslie K. Nagy</w:t>
      </w:r>
    </w:p>
    <w:p>
      <w:pPr>
        <w:ind w:left="4100"/>
        <w:spacing w:after="0"/>
        <w:tabs>
          <w:tab w:leader="none" w:pos="4700" w:val="left"/>
        </w:tabs>
        <w:rPr>
          <w:sz w:val="20"/>
          <w:szCs w:val="20"/>
          <w:color w:val="auto"/>
        </w:rPr>
      </w:pPr>
      <w:r>
        <w:rPr>
          <w:rFonts w:ascii="Times New Roman" w:cs="Times New Roman" w:eastAsia="Times New Roman" w:hAnsi="Times New Roman"/>
          <w:sz w:val="20"/>
          <w:szCs w:val="20"/>
          <w:color w:val="auto"/>
        </w:rPr>
        <w:t>Title:</w:t>
        <w:tab/>
        <w:t>Vice President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1071880</wp:posOffset>
            </wp:positionV>
            <wp:extent cx="5452110"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4" w:name="page285"/>
    <w:bookmarkEnd w:id="284"/>
    <w:p>
      <w:pPr>
        <w:ind w:left="4100"/>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ADMINISTRATIVE AGENT</w:t>
      </w:r>
      <w:r>
        <w:rPr>
          <w:rFonts w:ascii="Times New Roman" w:cs="Times New Roman" w:eastAsia="Times New Roman" w:hAnsi="Times New Roman"/>
          <w:sz w:val="20"/>
          <w:szCs w:val="20"/>
          <w:b w:val="1"/>
          <w:bCs w:val="1"/>
          <w:color w:val="auto"/>
        </w:rPr>
        <w:t>:</w:t>
      </w:r>
    </w:p>
    <w:p>
      <w:pPr>
        <w:spacing w:after="0" w:line="22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9"/>
          <w:szCs w:val="19"/>
          <w:b w:val="1"/>
          <w:bCs w:val="1"/>
          <w:color w:val="auto"/>
        </w:rPr>
        <w:t xml:space="preserve">BANK OF AMERICA, N.A., </w:t>
      </w:r>
      <w:r>
        <w:rPr>
          <w:rFonts w:ascii="Times New Roman" w:cs="Times New Roman" w:eastAsia="Times New Roman" w:hAnsi="Times New Roman"/>
          <w:sz w:val="19"/>
          <w:szCs w:val="19"/>
          <w:color w:val="auto"/>
        </w:rPr>
        <w:t>as</w:t>
      </w:r>
    </w:p>
    <w:p>
      <w:pPr>
        <w:spacing w:after="0" w:line="3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200" w:lineRule="exact"/>
        <w:rPr>
          <w:sz w:val="20"/>
          <w:szCs w:val="20"/>
          <w:color w:val="auto"/>
        </w:rPr>
      </w:pPr>
    </w:p>
    <w:p>
      <w:pPr>
        <w:spacing w:after="0" w:line="23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Contreras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-10795</wp:posOffset>
            </wp:positionV>
            <wp:extent cx="153606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4">
                      <a:extLst>
                        <a:ext uri="{28A0092B-C50C-407E-A947-70E740481C1C}"/>
                      </a:extLst>
                    </a:blip>
                    <a:srcRect/>
                    <a:stretch>
                      <a:fillRect/>
                    </a:stretch>
                  </pic:blipFill>
                  <pic:spPr bwMode="auto">
                    <a:xfrm>
                      <a:off x="0" y="0"/>
                      <a:ext cx="1536065" cy="8255"/>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Michael Contreras</w:t>
      </w:r>
    </w:p>
    <w:p>
      <w:pPr>
        <w:ind w:left="4100"/>
        <w:spacing w:after="0"/>
        <w:tabs>
          <w:tab w:leader="none" w:pos="4700" w:val="left"/>
        </w:tabs>
        <w:rPr>
          <w:sz w:val="20"/>
          <w:szCs w:val="20"/>
          <w:color w:val="auto"/>
        </w:rPr>
      </w:pPr>
      <w:r>
        <w:rPr>
          <w:rFonts w:ascii="Times New Roman" w:cs="Times New Roman" w:eastAsia="Times New Roman" w:hAnsi="Times New Roman"/>
          <w:sz w:val="20"/>
          <w:szCs w:val="20"/>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557530</wp:posOffset>
            </wp:positionV>
            <wp:extent cx="5452110"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5" w:name="page286"/>
    <w:bookmarkEnd w:id="285"/>
    <w:p>
      <w:pPr>
        <w:ind w:left="4100"/>
        <w:spacing w:after="0"/>
        <w:rPr>
          <w:sz w:val="20"/>
          <w:szCs w:val="20"/>
          <w:color w:val="auto"/>
        </w:rPr>
      </w:pPr>
      <w:r>
        <w:rPr>
          <w:rFonts w:ascii="Times New Roman" w:cs="Times New Roman" w:eastAsia="Times New Roman" w:hAnsi="Times New Roman"/>
          <w:sz w:val="20"/>
          <w:szCs w:val="20"/>
          <w:b w:val="1"/>
          <w:bCs w:val="1"/>
          <w:u w:val="single" w:color="auto"/>
          <w:color w:val="auto"/>
        </w:rPr>
        <w:t>THE BANKS</w:t>
      </w:r>
      <w:r>
        <w:rPr>
          <w:rFonts w:ascii="Times New Roman" w:cs="Times New Roman" w:eastAsia="Times New Roman" w:hAnsi="Times New Roman"/>
          <w:sz w:val="20"/>
          <w:szCs w:val="20"/>
          <w:b w:val="1"/>
          <w:bCs w:val="1"/>
          <w:color w:val="auto"/>
        </w:rPr>
        <w:t>:</w:t>
      </w:r>
    </w:p>
    <w:p>
      <w:pPr>
        <w:spacing w:after="0" w:line="22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9"/>
          <w:szCs w:val="19"/>
          <w:b w:val="1"/>
          <w:bCs w:val="1"/>
          <w:color w:val="auto"/>
        </w:rPr>
        <w:t xml:space="preserve">BANK OF AMERICA, N.A., </w:t>
      </w:r>
      <w:r>
        <w:rPr>
          <w:rFonts w:ascii="Times New Roman" w:cs="Times New Roman" w:eastAsia="Times New Roman" w:hAnsi="Times New Roman"/>
          <w:sz w:val="19"/>
          <w:szCs w:val="19"/>
          <w:color w:val="auto"/>
        </w:rPr>
        <w:t>as a Bank, Swing Line</w:t>
      </w:r>
    </w:p>
    <w:p>
      <w:pPr>
        <w:spacing w:after="0" w:line="3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Bank and an Issuing Bank</w:t>
      </w:r>
    </w:p>
    <w:p>
      <w:pPr>
        <w:spacing w:after="0" w:line="200" w:lineRule="exact"/>
        <w:rPr>
          <w:sz w:val="20"/>
          <w:szCs w:val="20"/>
          <w:color w:val="auto"/>
        </w:rPr>
      </w:pPr>
    </w:p>
    <w:p>
      <w:pPr>
        <w:spacing w:after="0" w:line="23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Contreras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-10795</wp:posOffset>
            </wp:positionV>
            <wp:extent cx="153606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6">
                      <a:extLst>
                        <a:ext uri="{28A0092B-C50C-407E-A947-70E740481C1C}"/>
                      </a:extLst>
                    </a:blip>
                    <a:srcRect/>
                    <a:stretch>
                      <a:fillRect/>
                    </a:stretch>
                  </pic:blipFill>
                  <pic:spPr bwMode="auto">
                    <a:xfrm>
                      <a:off x="0" y="0"/>
                      <a:ext cx="1536065" cy="8255"/>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Michael Contreras</w:t>
      </w:r>
    </w:p>
    <w:p>
      <w:pPr>
        <w:ind w:left="4100"/>
        <w:spacing w:after="0"/>
        <w:tabs>
          <w:tab w:leader="none" w:pos="4700" w:val="left"/>
        </w:tabs>
        <w:rPr>
          <w:sz w:val="20"/>
          <w:szCs w:val="20"/>
          <w:color w:val="auto"/>
        </w:rPr>
      </w:pPr>
      <w:r>
        <w:rPr>
          <w:rFonts w:ascii="Times New Roman" w:cs="Times New Roman" w:eastAsia="Times New Roman" w:hAnsi="Times New Roman"/>
          <w:sz w:val="20"/>
          <w:szCs w:val="20"/>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557530</wp:posOffset>
            </wp:positionV>
            <wp:extent cx="5452110"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6" w:name="page287"/>
    <w:bookmarkEnd w:id="286"/>
    <w:p>
      <w:pPr>
        <w:ind w:left="4100" w:right="399"/>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BANK OF AMERICA, N.A., </w:t>
      </w:r>
      <w:r>
        <w:rPr>
          <w:rFonts w:ascii="Times New Roman" w:cs="Times New Roman" w:eastAsia="Times New Roman" w:hAnsi="Times New Roman"/>
          <w:sz w:val="20"/>
          <w:szCs w:val="20"/>
          <w:color w:val="auto"/>
        </w:rPr>
        <w:t>acting through its Canada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Branch, as a Bank</w:t>
      </w:r>
    </w:p>
    <w:p>
      <w:pPr>
        <w:spacing w:after="0" w:line="40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Medina Sales de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-10795</wp:posOffset>
            </wp:positionV>
            <wp:extent cx="11785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8">
                      <a:extLst>
                        <a:ext uri="{28A0092B-C50C-407E-A947-70E740481C1C}"/>
                      </a:extLst>
                    </a:blip>
                    <a:srcRect/>
                    <a:stretch>
                      <a:fillRect/>
                    </a:stretch>
                  </pic:blipFill>
                  <pic:spPr bwMode="auto">
                    <a:xfrm>
                      <a:off x="0" y="0"/>
                      <a:ext cx="1178560" cy="8255"/>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Medina Sales de Andrade</w:t>
      </w:r>
    </w:p>
    <w:p>
      <w:pPr>
        <w:ind w:left="41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643255</wp:posOffset>
            </wp:positionV>
            <wp:extent cx="5452110"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7" w:name="page288"/>
    <w:bookmarkEnd w:id="287"/>
    <w:p>
      <w:pPr>
        <w:ind w:left="4100"/>
        <w:spacing w:after="0"/>
        <w:rPr>
          <w:sz w:val="20"/>
          <w:szCs w:val="20"/>
          <w:color w:val="auto"/>
        </w:rPr>
      </w:pPr>
      <w:r>
        <w:rPr>
          <w:rFonts w:ascii="Times New Roman" w:cs="Times New Roman" w:eastAsia="Times New Roman" w:hAnsi="Times New Roman"/>
          <w:sz w:val="19"/>
          <w:szCs w:val="19"/>
          <w:b w:val="1"/>
          <w:bCs w:val="1"/>
          <w:color w:val="auto"/>
        </w:rPr>
        <w:t>BARCLAYS BANK PLC</w:t>
      </w:r>
      <w:r>
        <w:rPr>
          <w:rFonts w:ascii="Times New Roman" w:cs="Times New Roman" w:eastAsia="Times New Roman" w:hAnsi="Times New Roman"/>
          <w:sz w:val="19"/>
          <w:szCs w:val="19"/>
          <w:color w:val="auto"/>
        </w:rPr>
        <w:t>, as a Bank and an Issuing Bank</w:t>
      </w:r>
    </w:p>
    <w:p>
      <w:pPr>
        <w:spacing w:after="0" w:line="200" w:lineRule="exact"/>
        <w:rPr>
          <w:sz w:val="20"/>
          <w:szCs w:val="20"/>
          <w:color w:val="auto"/>
        </w:rPr>
      </w:pPr>
    </w:p>
    <w:p>
      <w:pPr>
        <w:spacing w:after="0" w:line="27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Charlene Saldanha__________________</w:t>
      </w:r>
    </w:p>
    <w:p>
      <w:pPr>
        <w:spacing w:after="0" w:line="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Charlene Saldanha</w:t>
      </w:r>
    </w:p>
    <w:p>
      <w:pPr>
        <w:ind w:left="41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3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368300</wp:posOffset>
            </wp:positionV>
            <wp:extent cx="5452110"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288" w:name="page289"/>
    <w:bookmarkEnd w:id="288"/>
    <w:p>
      <w:pPr>
        <w:ind w:left="4100"/>
        <w:spacing w:after="0"/>
        <w:rPr>
          <w:sz w:val="20"/>
          <w:szCs w:val="20"/>
          <w:color w:val="auto"/>
        </w:rPr>
      </w:pPr>
      <w:r>
        <w:rPr>
          <w:rFonts w:ascii="Times New Roman" w:cs="Times New Roman" w:eastAsia="Times New Roman" w:hAnsi="Times New Roman"/>
          <w:sz w:val="19"/>
          <w:szCs w:val="19"/>
          <w:b w:val="1"/>
          <w:bCs w:val="1"/>
          <w:color w:val="auto"/>
        </w:rPr>
        <w:t>MIZUHO BANK, LTD.</w:t>
      </w:r>
      <w:r>
        <w:rPr>
          <w:rFonts w:ascii="Times New Roman" w:cs="Times New Roman" w:eastAsia="Times New Roman" w:hAnsi="Times New Roman"/>
          <w:sz w:val="19"/>
          <w:szCs w:val="19"/>
          <w:color w:val="auto"/>
        </w:rPr>
        <w:t>, as a Bank and an Issuing Bank</w:t>
      </w:r>
    </w:p>
    <w:p>
      <w:pPr>
        <w:spacing w:after="0" w:line="200" w:lineRule="exact"/>
        <w:rPr>
          <w:sz w:val="20"/>
          <w:szCs w:val="20"/>
          <w:color w:val="auto"/>
        </w:rPr>
      </w:pPr>
    </w:p>
    <w:p>
      <w:pPr>
        <w:spacing w:after="0" w:line="234" w:lineRule="exact"/>
        <w:rPr>
          <w:sz w:val="20"/>
          <w:szCs w:val="20"/>
          <w:color w:val="auto"/>
        </w:rPr>
      </w:pPr>
    </w:p>
    <w:p>
      <w:pPr>
        <w:ind w:left="4100"/>
        <w:spacing w:after="0"/>
        <w:tabs>
          <w:tab w:leader="none" w:pos="4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Donna DeMagistris_________________</w:t>
      </w:r>
    </w:p>
    <w:p>
      <w:pPr>
        <w:spacing w:after="0" w:line="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Donna DeMagistris</w:t>
      </w:r>
    </w:p>
    <w:p>
      <w:pPr>
        <w:ind w:left="41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342900</wp:posOffset>
            </wp:positionV>
            <wp:extent cx="5452110"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3" w:right="1440" w:bottom="1440" w:gutter="0" w:footer="0" w:header="0"/>
        </w:sectPr>
      </w:pPr>
    </w:p>
    <w:bookmarkStart w:id="289" w:name="page290"/>
    <w:bookmarkEnd w:id="289"/>
    <w:p>
      <w:pPr>
        <w:ind w:left="4100"/>
        <w:spacing w:after="0"/>
        <w:rPr>
          <w:sz w:val="20"/>
          <w:szCs w:val="20"/>
          <w:color w:val="auto"/>
        </w:rPr>
      </w:pPr>
      <w:r>
        <w:rPr>
          <w:rFonts w:ascii="Times New Roman" w:cs="Times New Roman" w:eastAsia="Times New Roman" w:hAnsi="Times New Roman"/>
          <w:sz w:val="19"/>
          <w:szCs w:val="19"/>
          <w:b w:val="1"/>
          <w:bCs w:val="1"/>
          <w:color w:val="auto"/>
        </w:rPr>
        <w:t>BANK OF CHINA, NEW YORK BRANCH</w:t>
      </w:r>
      <w:r>
        <w:rPr>
          <w:rFonts w:ascii="Times New Roman" w:cs="Times New Roman" w:eastAsia="Times New Roman" w:hAnsi="Times New Roman"/>
          <w:sz w:val="19"/>
          <w:szCs w:val="19"/>
          <w:color w:val="auto"/>
        </w:rPr>
        <w:t>, as a Bank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Raymond Qiao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-10795</wp:posOffset>
            </wp:positionV>
            <wp:extent cx="7429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2">
                      <a:extLst>
                        <a:ext uri="{28A0092B-C50C-407E-A947-70E740481C1C}"/>
                      </a:extLst>
                    </a:blip>
                    <a:srcRect/>
                    <a:stretch>
                      <a:fillRect/>
                    </a:stretch>
                  </pic:blipFill>
                  <pic:spPr bwMode="auto">
                    <a:xfrm>
                      <a:off x="0" y="0"/>
                      <a:ext cx="74295" cy="8255"/>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Raymond Qiao</w:t>
      </w:r>
    </w:p>
    <w:p>
      <w:pPr>
        <w:ind w:left="4100"/>
        <w:spacing w:after="0"/>
        <w:rPr>
          <w:sz w:val="20"/>
          <w:szCs w:val="20"/>
          <w:color w:val="auto"/>
        </w:rPr>
      </w:pPr>
      <w:r>
        <w:rPr>
          <w:rFonts w:ascii="Times New Roman" w:cs="Times New Roman" w:eastAsia="Times New Roman" w:hAnsi="Times New Roman"/>
          <w:sz w:val="20"/>
          <w:szCs w:val="20"/>
          <w:color w:val="auto"/>
        </w:rPr>
        <w:t>Title: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634365</wp:posOffset>
            </wp:positionV>
            <wp:extent cx="5452110"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3" w:right="1440" w:bottom="1440" w:gutter="0" w:footer="0" w:header="0"/>
        </w:sectPr>
      </w:pPr>
    </w:p>
    <w:bookmarkStart w:id="290" w:name="page291"/>
    <w:bookmarkEnd w:id="290"/>
    <w:p>
      <w:pPr>
        <w:ind w:left="4100"/>
        <w:spacing w:after="0"/>
        <w:rPr>
          <w:sz w:val="20"/>
          <w:szCs w:val="20"/>
          <w:color w:val="auto"/>
        </w:rPr>
      </w:pPr>
      <w:r>
        <w:rPr>
          <w:rFonts w:ascii="Times New Roman" w:cs="Times New Roman" w:eastAsia="Times New Roman" w:hAnsi="Times New Roman"/>
          <w:sz w:val="20"/>
          <w:szCs w:val="20"/>
          <w:b w:val="1"/>
          <w:bCs w:val="1"/>
          <w:color w:val="auto"/>
        </w:rPr>
        <w:t>BNP PARIBAS</w:t>
      </w:r>
      <w:r>
        <w:rPr>
          <w:rFonts w:ascii="Times New Roman" w:cs="Times New Roman" w:eastAsia="Times New Roman" w:hAnsi="Times New Roman"/>
          <w:sz w:val="20"/>
          <w:szCs w:val="20"/>
          <w:color w:val="auto"/>
        </w:rPr>
        <w:t>, as a Bank</w:t>
      </w:r>
    </w:p>
    <w:p>
      <w:pPr>
        <w:spacing w:after="0" w:line="200" w:lineRule="exact"/>
        <w:rPr>
          <w:sz w:val="20"/>
          <w:szCs w:val="20"/>
          <w:color w:val="auto"/>
        </w:rPr>
      </w:pPr>
    </w:p>
    <w:p>
      <w:pPr>
        <w:spacing w:after="0" w:line="26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Michael Lefkowitz__________________</w:t>
      </w:r>
    </w:p>
    <w:p>
      <w:pPr>
        <w:spacing w:after="0" w:line="3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Michael Lefkowitz</w:t>
      </w:r>
    </w:p>
    <w:p>
      <w:pPr>
        <w:ind w:left="41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3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Matthew Beauvais__________________</w:t>
      </w:r>
    </w:p>
    <w:p>
      <w:pPr>
        <w:spacing w:after="0" w:line="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Matthew Beauvais</w:t>
      </w:r>
    </w:p>
    <w:p>
      <w:pPr>
        <w:ind w:left="41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342900</wp:posOffset>
            </wp:positionV>
            <wp:extent cx="5452110"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291" w:name="page292"/>
    <w:bookmarkEnd w:id="291"/>
    <w:p>
      <w:pPr>
        <w:ind w:left="4100" w:right="399"/>
        <w:spacing w:after="0" w:line="315" w:lineRule="auto"/>
        <w:rPr>
          <w:sz w:val="20"/>
          <w:szCs w:val="20"/>
          <w:color w:val="auto"/>
        </w:rPr>
      </w:pPr>
      <w:r>
        <w:rPr>
          <w:rFonts w:ascii="Times New Roman" w:cs="Times New Roman" w:eastAsia="Times New Roman" w:hAnsi="Times New Roman"/>
          <w:sz w:val="20"/>
          <w:szCs w:val="20"/>
          <w:b w:val="1"/>
          <w:bCs w:val="1"/>
          <w:color w:val="auto"/>
        </w:rPr>
        <w:t>DEUTSCHE BANK AG NEW YORK BRANCH</w:t>
      </w:r>
      <w:r>
        <w:rPr>
          <w:rFonts w:ascii="Times New Roman" w:cs="Times New Roman" w:eastAsia="Times New Roman" w:hAnsi="Times New Roman"/>
          <w:sz w:val="20"/>
          <w:szCs w:val="20"/>
          <w:color w:val="auto"/>
        </w:rPr>
        <w:t>,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w:t>
      </w:r>
    </w:p>
    <w:p>
      <w:pPr>
        <w:spacing w:after="0" w:line="200" w:lineRule="exact"/>
        <w:rPr>
          <w:sz w:val="20"/>
          <w:szCs w:val="20"/>
          <w:color w:val="auto"/>
        </w:rPr>
      </w:pPr>
    </w:p>
    <w:p>
      <w:pPr>
        <w:spacing w:after="0" w:line="348" w:lineRule="exact"/>
        <w:rPr>
          <w:sz w:val="20"/>
          <w:szCs w:val="20"/>
          <w:color w:val="auto"/>
        </w:rPr>
      </w:pPr>
    </w:p>
    <w:p>
      <w:pPr>
        <w:ind w:left="4100"/>
        <w:spacing w:after="0"/>
        <w:tabs>
          <w:tab w:leader="none" w:pos="4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Marko Lukin______________________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2845435</wp:posOffset>
            </wp:positionH>
            <wp:positionV relativeFrom="paragraph">
              <wp:posOffset>-10795</wp:posOffset>
            </wp:positionV>
            <wp:extent cx="22301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5">
                      <a:extLst>
                        <a:ext uri="{28A0092B-C50C-407E-A947-70E740481C1C}"/>
                      </a:extLst>
                    </a:blip>
                    <a:srcRect/>
                    <a:stretch>
                      <a:fillRect/>
                    </a:stretch>
                  </pic:blipFill>
                  <pic:spPr bwMode="auto">
                    <a:xfrm>
                      <a:off x="0" y="0"/>
                      <a:ext cx="2230120" cy="8255"/>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Marko Lukin</w:t>
      </w:r>
    </w:p>
    <w:p>
      <w:pPr>
        <w:ind w:left="4100"/>
        <w:spacing w:after="0"/>
        <w:rPr>
          <w:sz w:val="20"/>
          <w:szCs w:val="20"/>
          <w:color w:val="auto"/>
        </w:rPr>
      </w:pPr>
      <w:r>
        <w:rPr>
          <w:rFonts w:ascii="Times New Roman" w:cs="Times New Roman" w:eastAsia="Times New Roman" w:hAnsi="Times New Roman"/>
          <w:sz w:val="20"/>
          <w:szCs w:val="20"/>
          <w:color w:val="auto"/>
        </w:rPr>
        <w:t>Title: Vice-President</w:t>
      </w:r>
    </w:p>
    <w:p>
      <w:pPr>
        <w:spacing w:after="0" w:line="200" w:lineRule="exact"/>
        <w:rPr>
          <w:sz w:val="20"/>
          <w:szCs w:val="20"/>
          <w:color w:val="auto"/>
        </w:rPr>
      </w:pPr>
    </w:p>
    <w:p>
      <w:pPr>
        <w:spacing w:after="0" w:line="237" w:lineRule="exact"/>
        <w:rPr>
          <w:sz w:val="20"/>
          <w:szCs w:val="20"/>
          <w:color w:val="auto"/>
        </w:rPr>
      </w:pPr>
    </w:p>
    <w:p>
      <w:pPr>
        <w:ind w:left="4100"/>
        <w:spacing w:after="0"/>
        <w:tabs>
          <w:tab w:leader="none" w:pos="4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Alison Lugo_______________________</w:t>
      </w:r>
    </w:p>
    <w:p>
      <w:pPr>
        <w:spacing w:after="0" w:line="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Alison Lugo</w:t>
      </w:r>
    </w:p>
    <w:p>
      <w:pPr>
        <w:ind w:left="4100"/>
        <w:spacing w:after="0"/>
        <w:rPr>
          <w:sz w:val="20"/>
          <w:szCs w:val="20"/>
          <w:color w:val="auto"/>
        </w:rPr>
      </w:pPr>
      <w:r>
        <w:rPr>
          <w:rFonts w:ascii="Times New Roman" w:cs="Times New Roman" w:eastAsia="Times New Roman" w:hAnsi="Times New Roman"/>
          <w:sz w:val="20"/>
          <w:szCs w:val="20"/>
          <w:color w:val="auto"/>
        </w:rPr>
        <w:t>Title: Vice-President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342900</wp:posOffset>
            </wp:positionV>
            <wp:extent cx="5452110"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3" w:right="1440" w:bottom="1440" w:gutter="0" w:footer="0" w:header="0"/>
        </w:sectPr>
      </w:pPr>
    </w:p>
    <w:bookmarkStart w:id="292" w:name="page293"/>
    <w:bookmarkEnd w:id="292"/>
    <w:p>
      <w:pPr>
        <w:ind w:left="4100"/>
        <w:spacing w:after="0"/>
        <w:rPr>
          <w:sz w:val="20"/>
          <w:szCs w:val="20"/>
          <w:color w:val="auto"/>
        </w:rPr>
      </w:pPr>
      <w:r>
        <w:rPr>
          <w:rFonts w:ascii="Times New Roman" w:cs="Times New Roman" w:eastAsia="Times New Roman" w:hAnsi="Times New Roman"/>
          <w:sz w:val="20"/>
          <w:szCs w:val="20"/>
          <w:b w:val="1"/>
          <w:bCs w:val="1"/>
          <w:color w:val="auto"/>
        </w:rPr>
        <w:t>GOLDMAN SACHS BANK USA</w:t>
      </w:r>
      <w:r>
        <w:rPr>
          <w:rFonts w:ascii="Times New Roman" w:cs="Times New Roman" w:eastAsia="Times New Roman" w:hAnsi="Times New Roman"/>
          <w:sz w:val="20"/>
          <w:szCs w:val="20"/>
          <w:color w:val="auto"/>
        </w:rPr>
        <w:t>, as a Bank</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100"/>
        <w:spacing w:after="0"/>
        <w:tabs>
          <w:tab w:leader="none" w:pos="4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Priyankush Goswami________________</w:t>
      </w:r>
    </w:p>
    <w:p>
      <w:pPr>
        <w:spacing w:after="0" w:line="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Priyankush Goswami</w:t>
      </w:r>
    </w:p>
    <w:p>
      <w:pPr>
        <w:ind w:left="41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342900</wp:posOffset>
            </wp:positionV>
            <wp:extent cx="5452110"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3" w:right="1440" w:bottom="1440" w:gutter="0" w:footer="0" w:header="0"/>
        </w:sectPr>
      </w:pPr>
    </w:p>
    <w:bookmarkStart w:id="293" w:name="page294"/>
    <w:bookmarkEnd w:id="293"/>
    <w:p>
      <w:pPr>
        <w:ind w:left="4100"/>
        <w:spacing w:after="0"/>
        <w:rPr>
          <w:sz w:val="20"/>
          <w:szCs w:val="20"/>
          <w:color w:val="auto"/>
        </w:rPr>
      </w:pPr>
      <w:r>
        <w:rPr>
          <w:rFonts w:ascii="Times New Roman" w:cs="Times New Roman" w:eastAsia="Times New Roman" w:hAnsi="Times New Roman"/>
          <w:sz w:val="20"/>
          <w:szCs w:val="20"/>
          <w:b w:val="1"/>
          <w:bCs w:val="1"/>
          <w:color w:val="auto"/>
        </w:rPr>
        <w:t>MUFG BANK, LTD.</w:t>
      </w:r>
      <w:r>
        <w:rPr>
          <w:rFonts w:ascii="Times New Roman" w:cs="Times New Roman" w:eastAsia="Times New Roman" w:hAnsi="Times New Roman"/>
          <w:sz w:val="20"/>
          <w:szCs w:val="20"/>
          <w:color w:val="auto"/>
        </w:rPr>
        <w:t>, as a Bank</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Cameron Farrell____________________</w:t>
      </w:r>
    </w:p>
    <w:p>
      <w:pPr>
        <w:spacing w:after="0" w:line="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Cameron Farrell</w:t>
      </w:r>
    </w:p>
    <w:p>
      <w:pPr>
        <w:ind w:left="41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3" w:right="1440" w:bottom="1440" w:gutter="0" w:footer="0" w:header="0"/>
        </w:sectPr>
      </w:pPr>
    </w:p>
    <w:bookmarkStart w:id="294" w:name="page295"/>
    <w:bookmarkEnd w:id="294"/>
    <w:p>
      <w:pPr>
        <w:ind w:left="4100"/>
        <w:spacing w:after="0"/>
        <w:rPr>
          <w:sz w:val="20"/>
          <w:szCs w:val="20"/>
          <w:color w:val="auto"/>
        </w:rPr>
      </w:pPr>
      <w:r>
        <w:rPr>
          <w:rFonts w:ascii="Times New Roman" w:cs="Times New Roman" w:eastAsia="Times New Roman" w:hAnsi="Times New Roman"/>
          <w:sz w:val="19"/>
          <w:szCs w:val="19"/>
          <w:b w:val="1"/>
          <w:bCs w:val="1"/>
          <w:color w:val="auto"/>
        </w:rPr>
        <w:t>PNC BANK, NATIONAL ASSOCIATION</w:t>
      </w:r>
      <w:r>
        <w:rPr>
          <w:rFonts w:ascii="Times New Roman" w:cs="Times New Roman" w:eastAsia="Times New Roman" w:hAnsi="Times New Roman"/>
          <w:sz w:val="19"/>
          <w:szCs w:val="19"/>
          <w:color w:val="auto"/>
        </w:rPr>
        <w:t>, as a Bank</w:t>
      </w:r>
    </w:p>
    <w:p>
      <w:pPr>
        <w:spacing w:after="0" w:line="3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and an Issuing Bank</w:t>
      </w:r>
    </w:p>
    <w:p>
      <w:pPr>
        <w:spacing w:after="0" w:line="200" w:lineRule="exact"/>
        <w:rPr>
          <w:sz w:val="20"/>
          <w:szCs w:val="20"/>
          <w:color w:val="auto"/>
        </w:rPr>
      </w:pPr>
    </w:p>
    <w:p>
      <w:pPr>
        <w:spacing w:after="0" w:line="237" w:lineRule="exact"/>
        <w:rPr>
          <w:sz w:val="20"/>
          <w:szCs w:val="20"/>
          <w:color w:val="auto"/>
        </w:rPr>
      </w:pPr>
    </w:p>
    <w:p>
      <w:pPr>
        <w:ind w:left="4100"/>
        <w:spacing w:after="0"/>
        <w:tabs>
          <w:tab w:leader="none" w:pos="4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Michael Cuccia____________________</w:t>
      </w:r>
    </w:p>
    <w:p>
      <w:pPr>
        <w:spacing w:after="0" w:line="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Michael Cuccia</w:t>
      </w:r>
    </w:p>
    <w:p>
      <w:pPr>
        <w:ind w:left="4100"/>
        <w:spacing w:after="0"/>
        <w:tabs>
          <w:tab w:leader="none" w:pos="4700" w:val="left"/>
        </w:tabs>
        <w:rPr>
          <w:sz w:val="20"/>
          <w:szCs w:val="20"/>
          <w:color w:val="auto"/>
        </w:rPr>
      </w:pPr>
      <w:r>
        <w:rPr>
          <w:rFonts w:ascii="Times New Roman" w:cs="Times New Roman" w:eastAsia="Times New Roman" w:hAnsi="Times New Roman"/>
          <w:sz w:val="20"/>
          <w:szCs w:val="20"/>
          <w:color w:val="auto"/>
        </w:rPr>
        <w:t>Title:</w:t>
        <w:tab/>
        <w:t>Senior Vice President</w:t>
      </w:r>
    </w:p>
    <w:p>
      <w:pPr>
        <w:spacing w:after="0" w:line="200" w:lineRule="exact"/>
        <w:rPr>
          <w:sz w:val="20"/>
          <w:szCs w:val="20"/>
          <w:color w:val="auto"/>
        </w:rPr>
      </w:pPr>
    </w:p>
    <w:p>
      <w:pPr>
        <w:spacing w:after="0" w:line="23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PNC BANK CANADA BRANCH</w:t>
      </w:r>
      <w:r>
        <w:rPr>
          <w:rFonts w:ascii="Times New Roman" w:cs="Times New Roman" w:eastAsia="Times New Roman" w:hAnsi="Times New Roman"/>
          <w:sz w:val="20"/>
          <w:szCs w:val="20"/>
          <w:color w:val="auto"/>
        </w:rPr>
        <w:t>, as a Bank</w:t>
      </w:r>
    </w:p>
    <w:p>
      <w:pPr>
        <w:spacing w:after="0" w:line="200" w:lineRule="exact"/>
        <w:rPr>
          <w:sz w:val="20"/>
          <w:szCs w:val="20"/>
          <w:color w:val="auto"/>
        </w:rPr>
      </w:pPr>
    </w:p>
    <w:p>
      <w:pPr>
        <w:spacing w:after="0" w:line="263" w:lineRule="exact"/>
        <w:rPr>
          <w:sz w:val="20"/>
          <w:szCs w:val="20"/>
          <w:color w:val="auto"/>
        </w:rPr>
      </w:pPr>
    </w:p>
    <w:p>
      <w:pPr>
        <w:ind w:left="4100"/>
        <w:spacing w:after="0"/>
        <w:tabs>
          <w:tab w:leader="none" w:pos="4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Cameron Ruff_____________________</w:t>
      </w:r>
    </w:p>
    <w:p>
      <w:pPr>
        <w:spacing w:after="0" w:line="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Cameron Ruff</w:t>
      </w:r>
    </w:p>
    <w:p>
      <w:pPr>
        <w:ind w:left="4100"/>
        <w:spacing w:after="0"/>
        <w:tabs>
          <w:tab w:leader="none" w:pos="4700" w:val="left"/>
        </w:tabs>
        <w:rPr>
          <w:sz w:val="20"/>
          <w:szCs w:val="20"/>
          <w:color w:val="auto"/>
        </w:rPr>
      </w:pPr>
      <w:r>
        <w:rPr>
          <w:rFonts w:ascii="Times New Roman" w:cs="Times New Roman" w:eastAsia="Times New Roman" w:hAnsi="Times New Roman"/>
          <w:sz w:val="20"/>
          <w:szCs w:val="20"/>
          <w:color w:val="auto"/>
        </w:rPr>
        <w:t>Title:</w:t>
        <w:tab/>
        <w:t>SVP, PNC Bank Canada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295" w:name="page296"/>
    <w:bookmarkEnd w:id="295"/>
    <w:p>
      <w:pPr>
        <w:ind w:left="4100"/>
        <w:spacing w:after="0"/>
        <w:rPr>
          <w:sz w:val="20"/>
          <w:szCs w:val="20"/>
          <w:color w:val="auto"/>
        </w:rPr>
      </w:pPr>
      <w:r>
        <w:rPr>
          <w:rFonts w:ascii="Times New Roman" w:cs="Times New Roman" w:eastAsia="Times New Roman" w:hAnsi="Times New Roman"/>
          <w:sz w:val="20"/>
          <w:szCs w:val="20"/>
          <w:b w:val="1"/>
          <w:bCs w:val="1"/>
          <w:color w:val="auto"/>
        </w:rPr>
        <w:t>ROYAL BANK OF CANADA</w:t>
      </w:r>
      <w:r>
        <w:rPr>
          <w:rFonts w:ascii="Times New Roman" w:cs="Times New Roman" w:eastAsia="Times New Roman" w:hAnsi="Times New Roman"/>
          <w:sz w:val="20"/>
          <w:szCs w:val="20"/>
          <w:color w:val="auto"/>
        </w:rPr>
        <w:t>, as a Bank</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Raja Khanna_______________________</w:t>
      </w:r>
    </w:p>
    <w:p>
      <w:pPr>
        <w:spacing w:after="0" w:line="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Raja Khanna</w:t>
      </w:r>
    </w:p>
    <w:p>
      <w:pPr>
        <w:ind w:left="4100"/>
        <w:spacing w:after="0"/>
        <w:tabs>
          <w:tab w:leader="none" w:pos="46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342900</wp:posOffset>
            </wp:positionV>
            <wp:extent cx="5452110"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3" w:right="1440" w:bottom="1440" w:gutter="0" w:footer="0" w:header="0"/>
        </w:sectPr>
      </w:pPr>
    </w:p>
    <w:bookmarkStart w:id="296" w:name="page297"/>
    <w:bookmarkEnd w:id="296"/>
    <w:p>
      <w:pPr>
        <w:ind w:left="4100"/>
        <w:spacing w:after="0"/>
        <w:rPr>
          <w:sz w:val="20"/>
          <w:szCs w:val="20"/>
          <w:color w:val="auto"/>
        </w:rPr>
      </w:pPr>
      <w:r>
        <w:rPr>
          <w:rFonts w:ascii="Times New Roman" w:cs="Times New Roman" w:eastAsia="Times New Roman" w:hAnsi="Times New Roman"/>
          <w:sz w:val="19"/>
          <w:szCs w:val="19"/>
          <w:b w:val="1"/>
          <w:bCs w:val="1"/>
          <w:color w:val="auto"/>
        </w:rPr>
        <w:t>SUMITOMO MITSUI BANKING CORPORATION</w:t>
      </w:r>
      <w:r>
        <w:rPr>
          <w:rFonts w:ascii="Times New Roman" w:cs="Times New Roman" w:eastAsia="Times New Roman" w:hAnsi="Times New Roman"/>
          <w:sz w:val="19"/>
          <w:szCs w:val="19"/>
          <w:color w:val="auto"/>
        </w:rPr>
        <w:t>,</w:t>
      </w:r>
    </w:p>
    <w:p>
      <w:pPr>
        <w:spacing w:after="0" w:line="5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as a Bank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100"/>
        <w:spacing w:after="0"/>
        <w:tabs>
          <w:tab w:leader="none" w:pos="4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Rosa Pritsch_______________________</w:t>
      </w:r>
    </w:p>
    <w:p>
      <w:pPr>
        <w:spacing w:after="0" w:line="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Rosa Pritsch</w:t>
      </w:r>
    </w:p>
    <w:p>
      <w:pPr>
        <w:ind w:left="4100"/>
        <w:spacing w:after="0"/>
        <w:tabs>
          <w:tab w:leader="none" w:pos="4700" w:val="left"/>
        </w:tabs>
        <w:rPr>
          <w:sz w:val="20"/>
          <w:szCs w:val="20"/>
          <w:color w:val="auto"/>
        </w:rPr>
      </w:pPr>
      <w:r>
        <w:rPr>
          <w:rFonts w:ascii="Times New Roman" w:cs="Times New Roman" w:eastAsia="Times New Roman" w:hAnsi="Times New Roman"/>
          <w:sz w:val="20"/>
          <w:szCs w:val="20"/>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3" w:right="1440" w:bottom="1440" w:gutter="0" w:footer="0" w:header="0"/>
        </w:sectPr>
      </w:pPr>
    </w:p>
    <w:bookmarkStart w:id="297" w:name="page298"/>
    <w:bookmarkEnd w:id="297"/>
    <w:p>
      <w:pPr>
        <w:ind w:left="4100"/>
        <w:spacing w:after="0"/>
        <w:rPr>
          <w:sz w:val="20"/>
          <w:szCs w:val="20"/>
          <w:color w:val="auto"/>
        </w:rPr>
      </w:pPr>
      <w:r>
        <w:rPr>
          <w:rFonts w:ascii="Times New Roman" w:cs="Times New Roman" w:eastAsia="Times New Roman" w:hAnsi="Times New Roman"/>
          <w:sz w:val="20"/>
          <w:szCs w:val="20"/>
          <w:b w:val="1"/>
          <w:bCs w:val="1"/>
          <w:color w:val="auto"/>
        </w:rPr>
        <w:t>TRUIST BANK</w:t>
      </w:r>
      <w:r>
        <w:rPr>
          <w:rFonts w:ascii="Times New Roman" w:cs="Times New Roman" w:eastAsia="Times New Roman" w:hAnsi="Times New Roman"/>
          <w:sz w:val="20"/>
          <w:szCs w:val="20"/>
          <w:color w:val="auto"/>
        </w:rPr>
        <w:t>, as a Bank</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William R. Rutkowski_______________</w:t>
      </w:r>
    </w:p>
    <w:p>
      <w:pPr>
        <w:spacing w:after="0" w:line="3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William R. Rutkowski</w:t>
      </w:r>
    </w:p>
    <w:p>
      <w:pPr>
        <w:ind w:left="4100"/>
        <w:spacing w:after="0"/>
        <w:tabs>
          <w:tab w:leader="none" w:pos="4700" w:val="left"/>
        </w:tabs>
        <w:rPr>
          <w:sz w:val="20"/>
          <w:szCs w:val="20"/>
          <w:color w:val="auto"/>
        </w:rPr>
      </w:pPr>
      <w:r>
        <w:rPr>
          <w:rFonts w:ascii="Times New Roman" w:cs="Times New Roman" w:eastAsia="Times New Roman" w:hAnsi="Times New Roman"/>
          <w:sz w:val="20"/>
          <w:szCs w:val="20"/>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3" w:right="1440" w:bottom="1440" w:gutter="0" w:footer="0" w:header="0"/>
        </w:sectPr>
      </w:pPr>
    </w:p>
    <w:bookmarkStart w:id="298" w:name="page299"/>
    <w:bookmarkEnd w:id="298"/>
    <w:p>
      <w:pPr>
        <w:ind w:left="3740"/>
        <w:spacing w:after="0"/>
        <w:rPr>
          <w:sz w:val="20"/>
          <w:szCs w:val="20"/>
          <w:color w:val="auto"/>
        </w:rPr>
      </w:pPr>
      <w:r>
        <w:rPr>
          <w:rFonts w:ascii="Times New Roman" w:cs="Times New Roman" w:eastAsia="Times New Roman" w:hAnsi="Times New Roman"/>
          <w:sz w:val="19"/>
          <w:szCs w:val="19"/>
          <w:b w:val="1"/>
          <w:bCs w:val="1"/>
          <w:color w:val="auto"/>
        </w:rPr>
        <w:t>U.S. BANK NATIONAL ASSOCIATION</w:t>
      </w:r>
      <w:r>
        <w:rPr>
          <w:rFonts w:ascii="Times New Roman" w:cs="Times New Roman" w:eastAsia="Times New Roman" w:hAnsi="Times New Roman"/>
          <w:sz w:val="19"/>
          <w:szCs w:val="19"/>
          <w:color w:val="auto"/>
        </w:rPr>
        <w:t>, as a  Bank</w:t>
      </w:r>
    </w:p>
    <w:p>
      <w:pPr>
        <w:sectPr>
          <w:pgSz w:w="11900" w:h="16838" w:orient="portrait"/>
          <w:cols w:equalWidth="0" w:num="1">
            <w:col w:w="9019"/>
          </w:cols>
          <w:pgMar w:left="1440" w:top="896" w:right="1440"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4100"/>
        <w:spacing w:after="0"/>
        <w:tabs>
          <w:tab w:leader="none" w:pos="4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Kara P. Van Duzee_________________</w:t>
      </w:r>
    </w:p>
    <w:p>
      <w:pPr>
        <w:spacing w:after="0" w:line="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Kara P. Van Duzee</w:t>
      </w:r>
    </w:p>
    <w:p>
      <w:pPr>
        <w:ind w:left="4100"/>
        <w:spacing w:after="0"/>
        <w:tabs>
          <w:tab w:leader="none" w:pos="46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514350</wp:posOffset>
            </wp:positionV>
            <wp:extent cx="5452110"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type w:val="continuous"/>
        </w:sectPr>
      </w:pPr>
    </w:p>
    <w:bookmarkStart w:id="299" w:name="page300"/>
    <w:bookmarkEnd w:id="299"/>
    <w:p>
      <w:pPr>
        <w:ind w:left="4100" w:right="219"/>
        <w:spacing w:after="0" w:line="273" w:lineRule="auto"/>
        <w:rPr>
          <w:sz w:val="20"/>
          <w:szCs w:val="20"/>
          <w:color w:val="auto"/>
        </w:rPr>
      </w:pPr>
      <w:r>
        <w:rPr>
          <w:rFonts w:ascii="Times New Roman" w:cs="Times New Roman" w:eastAsia="Times New Roman" w:hAnsi="Times New Roman"/>
          <w:sz w:val="20"/>
          <w:szCs w:val="20"/>
          <w:b w:val="1"/>
          <w:bCs w:val="1"/>
          <w:color w:val="auto"/>
        </w:rPr>
        <w:t>WELLS FARGO BANK, NATIONAL ASSOCIATION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Bank and an Issuing Bank</w:t>
      </w:r>
    </w:p>
    <w:p>
      <w:pPr>
        <w:spacing w:after="0" w:line="39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Steven Chen_______________________</w:t>
      </w:r>
    </w:p>
    <w:p>
      <w:pPr>
        <w:spacing w:after="0" w:line="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Steven Chen</w:t>
      </w:r>
    </w:p>
    <w:p>
      <w:pPr>
        <w:ind w:left="4100"/>
        <w:spacing w:after="0"/>
        <w:tabs>
          <w:tab w:leader="none" w:pos="4700" w:val="left"/>
        </w:tabs>
        <w:rPr>
          <w:sz w:val="20"/>
          <w:szCs w:val="20"/>
          <w:color w:val="auto"/>
        </w:rPr>
      </w:pPr>
      <w:r>
        <w:rPr>
          <w:rFonts w:ascii="Times New Roman" w:cs="Times New Roman" w:eastAsia="Times New Roman" w:hAnsi="Times New Roman"/>
          <w:sz w:val="20"/>
          <w:szCs w:val="20"/>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300" w:name="page301"/>
    <w:bookmarkEnd w:id="300"/>
    <w:p>
      <w:pPr>
        <w:ind w:left="4100"/>
        <w:spacing w:after="0"/>
        <w:rPr>
          <w:sz w:val="20"/>
          <w:szCs w:val="20"/>
          <w:color w:val="auto"/>
        </w:rPr>
      </w:pPr>
      <w:r>
        <w:rPr>
          <w:rFonts w:ascii="Times New Roman" w:cs="Times New Roman" w:eastAsia="Times New Roman" w:hAnsi="Times New Roman"/>
          <w:sz w:val="19"/>
          <w:szCs w:val="19"/>
          <w:b w:val="1"/>
          <w:bCs w:val="1"/>
          <w:color w:val="auto"/>
        </w:rPr>
        <w:t>AGRICULTURAL BANK OF CHINA, NEW YORK</w:t>
      </w:r>
    </w:p>
    <w:p>
      <w:pPr>
        <w:spacing w:after="0" w:line="3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BRANCH</w:t>
      </w:r>
      <w:r>
        <w:rPr>
          <w:rFonts w:ascii="Times New Roman" w:cs="Times New Roman" w:eastAsia="Times New Roman" w:hAnsi="Times New Roman"/>
          <w:sz w:val="20"/>
          <w:szCs w:val="20"/>
          <w:color w:val="auto"/>
        </w:rPr>
        <w:t>, as a Bank</w:t>
      </w:r>
    </w:p>
    <w:p>
      <w:pPr>
        <w:spacing w:after="0" w:line="200" w:lineRule="exact"/>
        <w:rPr>
          <w:sz w:val="20"/>
          <w:szCs w:val="20"/>
          <w:color w:val="auto"/>
        </w:rPr>
      </w:pPr>
    </w:p>
    <w:p>
      <w:pPr>
        <w:spacing w:after="0" w:line="23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Nelson Chou______________________</w:t>
      </w:r>
    </w:p>
    <w:p>
      <w:pPr>
        <w:spacing w:after="0" w:line="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Nelson Chou</w:t>
      </w:r>
    </w:p>
    <w:p>
      <w:pPr>
        <w:ind w:left="4100"/>
        <w:spacing w:after="0"/>
        <w:rPr>
          <w:sz w:val="20"/>
          <w:szCs w:val="20"/>
          <w:color w:val="auto"/>
        </w:rPr>
      </w:pPr>
      <w:r>
        <w:rPr>
          <w:rFonts w:ascii="Times New Roman" w:cs="Times New Roman" w:eastAsia="Times New Roman" w:hAnsi="Times New Roman"/>
          <w:sz w:val="20"/>
          <w:szCs w:val="20"/>
          <w:color w:val="auto"/>
        </w:rPr>
        <w:t>Title: SVP &amp; Head of Corporate Banking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301" w:name="page302"/>
    <w:bookmarkEnd w:id="301"/>
    <w:p>
      <w:pPr>
        <w:ind w:left="4100"/>
        <w:spacing w:after="0"/>
        <w:rPr>
          <w:sz w:val="20"/>
          <w:szCs w:val="20"/>
          <w:color w:val="auto"/>
        </w:rPr>
      </w:pPr>
      <w:r>
        <w:rPr>
          <w:rFonts w:ascii="Times New Roman" w:cs="Times New Roman" w:eastAsia="Times New Roman" w:hAnsi="Times New Roman"/>
          <w:sz w:val="20"/>
          <w:szCs w:val="20"/>
          <w:b w:val="1"/>
          <w:bCs w:val="1"/>
          <w:color w:val="auto"/>
        </w:rPr>
        <w:t>FARM CREDIT CANADA</w:t>
      </w:r>
      <w:r>
        <w:rPr>
          <w:rFonts w:ascii="Times New Roman" w:cs="Times New Roman" w:eastAsia="Times New Roman" w:hAnsi="Times New Roman"/>
          <w:sz w:val="20"/>
          <w:szCs w:val="20"/>
          <w:color w:val="auto"/>
        </w:rPr>
        <w:t>, as a Bank</w:t>
      </w:r>
    </w:p>
    <w:p>
      <w:pPr>
        <w:spacing w:after="0" w:line="200" w:lineRule="exact"/>
        <w:rPr>
          <w:sz w:val="20"/>
          <w:szCs w:val="20"/>
          <w:color w:val="auto"/>
        </w:rPr>
      </w:pPr>
    </w:p>
    <w:p>
      <w:pPr>
        <w:spacing w:after="0" w:line="26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Sally Brett_________________________</w:t>
      </w:r>
    </w:p>
    <w:p>
      <w:pPr>
        <w:spacing w:after="0" w:line="3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Sally Brett</w:t>
      </w:r>
    </w:p>
    <w:p>
      <w:pPr>
        <w:ind w:left="4100"/>
        <w:spacing w:after="0"/>
        <w:rPr>
          <w:sz w:val="20"/>
          <w:szCs w:val="20"/>
          <w:color w:val="auto"/>
        </w:rPr>
      </w:pPr>
      <w:r>
        <w:rPr>
          <w:rFonts w:ascii="Times New Roman" w:cs="Times New Roman" w:eastAsia="Times New Roman" w:hAnsi="Times New Roman"/>
          <w:sz w:val="20"/>
          <w:szCs w:val="20"/>
          <w:color w:val="auto"/>
        </w:rPr>
        <w:t>Title: Sr. Relationship Mgmt Assoc.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342900</wp:posOffset>
            </wp:positionV>
            <wp:extent cx="5452110"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302" w:name="page303"/>
    <w:bookmarkEnd w:id="302"/>
    <w:p>
      <w:pPr>
        <w:jc w:val="right"/>
        <w:ind w:right="219"/>
        <w:spacing w:after="0"/>
        <w:rPr>
          <w:sz w:val="20"/>
          <w:szCs w:val="20"/>
          <w:color w:val="auto"/>
        </w:rPr>
      </w:pPr>
      <w:r>
        <w:rPr>
          <w:rFonts w:ascii="Times New Roman" w:cs="Times New Roman" w:eastAsia="Times New Roman" w:hAnsi="Times New Roman"/>
          <w:sz w:val="20"/>
          <w:szCs w:val="20"/>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279400</wp:posOffset>
            </wp:positionV>
            <wp:extent cx="1525905" cy="4114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7">
                      <a:extLst>
                        <a:ext uri="{28A0092B-C50C-407E-A947-70E740481C1C}"/>
                      </a:extLst>
                    </a:blip>
                    <a:srcRect/>
                    <a:stretch>
                      <a:fillRect/>
                    </a:stretch>
                  </pic:blipFill>
                  <pic:spPr bwMode="auto">
                    <a:xfrm>
                      <a:off x="0" y="0"/>
                      <a:ext cx="15259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INSIDER TRADING POLICY</w:t>
      </w:r>
    </w:p>
    <w:p>
      <w:pPr>
        <w:spacing w:after="0" w:line="1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u w:val="single" w:color="auto"/>
          <w:color w:val="auto"/>
        </w:rPr>
        <w:t>Purpose</w:t>
      </w:r>
      <w:r>
        <w:rPr>
          <w:rFonts w:ascii="Times New Roman" w:cs="Times New Roman" w:eastAsia="Times New Roman" w:hAnsi="Times New Roman"/>
          <w:sz w:val="20"/>
          <w:szCs w:val="20"/>
          <w:b w:val="1"/>
          <w:bCs w:val="1"/>
          <w:color w:val="auto"/>
        </w:rPr>
        <w:t>:</w:t>
      </w:r>
    </w:p>
    <w:p>
      <w:pPr>
        <w:spacing w:after="0" w:line="135" w:lineRule="exact"/>
        <w:rPr>
          <w:sz w:val="20"/>
          <w:szCs w:val="20"/>
          <w:color w:val="auto"/>
        </w:rPr>
      </w:pPr>
    </w:p>
    <w:p>
      <w:pPr>
        <w:jc w:val="both"/>
        <w:ind w:left="200" w:right="219"/>
        <w:spacing w:after="0" w:line="287" w:lineRule="auto"/>
        <w:rPr>
          <w:sz w:val="20"/>
          <w:szCs w:val="20"/>
          <w:color w:val="auto"/>
        </w:rPr>
      </w:pPr>
      <w:r>
        <w:rPr>
          <w:rFonts w:ascii="Times New Roman" w:cs="Times New Roman" w:eastAsia="Times New Roman" w:hAnsi="Times New Roman"/>
          <w:sz w:val="20"/>
          <w:szCs w:val="20"/>
          <w:color w:val="auto"/>
        </w:rPr>
        <w:t>Waste Management, Inc., together with its subsidiaries and affiliates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adopted this policy (this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to provide guidelines to support compliance with insider trading laws.</w:t>
      </w:r>
    </w:p>
    <w:p>
      <w:pPr>
        <w:spacing w:after="0" w:line="102"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20"/>
          <w:szCs w:val="20"/>
          <w:color w:val="auto"/>
        </w:rPr>
        <w:t>This Policy prohibits transacting in securities while in possession of material non-public information regarding the issuer of those securities, as described further below. This Policy also prohibits disclosing such information to others who may then transact in the securities of the issuer to which the material non-public information relates. Violation of insider trading laws may result in severe civil and criminal penalties and disciplinary action by the Company, including dismissal.</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u w:val="single" w:color="auto"/>
          <w:color w:val="auto"/>
        </w:rPr>
        <w:t>Policy</w:t>
      </w:r>
      <w:r>
        <w:rPr>
          <w:rFonts w:ascii="Times New Roman" w:cs="Times New Roman" w:eastAsia="Times New Roman" w:hAnsi="Times New Roman"/>
          <w:sz w:val="20"/>
          <w:szCs w:val="20"/>
          <w:b w:val="1"/>
          <w:bCs w:val="1"/>
          <w:color w:val="auto"/>
        </w:rPr>
        <w:t>:</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Persons Subject to this Policy</w:t>
      </w:r>
    </w:p>
    <w:p>
      <w:pPr>
        <w:spacing w:after="0" w:line="162" w:lineRule="exact"/>
        <w:rPr>
          <w:sz w:val="20"/>
          <w:szCs w:val="20"/>
          <w:color w:val="auto"/>
        </w:rPr>
      </w:pPr>
    </w:p>
    <w:p>
      <w:pPr>
        <w:jc w:val="both"/>
        <w:ind w:left="200" w:right="219"/>
        <w:spacing w:after="0" w:line="284" w:lineRule="auto"/>
        <w:rPr>
          <w:sz w:val="20"/>
          <w:szCs w:val="20"/>
          <w:color w:val="auto"/>
        </w:rPr>
      </w:pPr>
      <w:r>
        <w:rPr>
          <w:rFonts w:ascii="Times New Roman" w:cs="Times New Roman" w:eastAsia="Times New Roman" w:hAnsi="Times New Roman"/>
          <w:sz w:val="20"/>
          <w:szCs w:val="20"/>
          <w:color w:val="auto"/>
        </w:rPr>
        <w:t>This Policy applies to all members of the Board of Directors (“</w:t>
      </w:r>
      <w:r>
        <w:rPr>
          <w:rFonts w:ascii="Times New Roman" w:cs="Times New Roman" w:eastAsia="Times New Roman" w:hAnsi="Times New Roman"/>
          <w:sz w:val="20"/>
          <w:szCs w:val="20"/>
          <w:b w:val="1"/>
          <w:bCs w:val="1"/>
          <w:color w:val="auto"/>
        </w:rPr>
        <w:t>Directors</w:t>
      </w:r>
      <w:r>
        <w:rPr>
          <w:rFonts w:ascii="Times New Roman" w:cs="Times New Roman" w:eastAsia="Times New Roman" w:hAnsi="Times New Roman"/>
          <w:sz w:val="20"/>
          <w:szCs w:val="20"/>
          <w:color w:val="auto"/>
        </w:rPr>
        <w:t>”), officers, employees, contractors, and consultants providing services to the Company, on behalf of themselves and their Related Entities (as defined below).</w:t>
      </w:r>
    </w:p>
    <w:p>
      <w:pPr>
        <w:spacing w:after="0" w:line="88" w:lineRule="exact"/>
        <w:rPr>
          <w:sz w:val="20"/>
          <w:szCs w:val="20"/>
          <w:color w:val="auto"/>
        </w:rPr>
      </w:pPr>
    </w:p>
    <w:p>
      <w:pPr>
        <w:ind w:left="200" w:right="999" w:firstLine="786"/>
        <w:spacing w:after="0" w:line="396"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 xml:space="preserve">REQUIREMENTS APPLICABLE TO ALL PERSONS SUBJECT TO THIS POLICY </w:t>
      </w:r>
      <w:r>
        <w:rPr>
          <w:rFonts w:ascii="Times New Roman" w:cs="Times New Roman" w:eastAsia="Times New Roman" w:hAnsi="Times New Roman"/>
          <w:sz w:val="20"/>
          <w:szCs w:val="20"/>
          <w:b w:val="1"/>
          <w:bCs w:val="1"/>
          <w:color w:val="auto"/>
        </w:rPr>
        <w:t>Prohibition of Insider Trading</w:t>
      </w:r>
    </w:p>
    <w:p>
      <w:pPr>
        <w:spacing w:after="0" w:line="1" w:lineRule="exact"/>
        <w:rPr>
          <w:sz w:val="20"/>
          <w:szCs w:val="20"/>
          <w:color w:val="auto"/>
        </w:rPr>
      </w:pPr>
    </w:p>
    <w:p>
      <w:pPr>
        <w:ind w:left="860" w:right="219" w:hanging="327"/>
        <w:spacing w:after="0" w:line="261" w:lineRule="auto"/>
        <w:tabs>
          <w:tab w:leader="none" w:pos="86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subject to this Policy is permitted to transact in the stock or any securities of the Company while in possession of material non-public information.</w:t>
      </w:r>
    </w:p>
    <w:p>
      <w:pPr>
        <w:spacing w:after="0" w:line="1" w:lineRule="exact"/>
        <w:rPr>
          <w:rFonts w:ascii="Times New Roman" w:cs="Times New Roman" w:eastAsia="Times New Roman" w:hAnsi="Times New Roman"/>
          <w:sz w:val="20"/>
          <w:szCs w:val="20"/>
          <w:color w:val="auto"/>
        </w:rPr>
      </w:pPr>
    </w:p>
    <w:p>
      <w:pPr>
        <w:jc w:val="both"/>
        <w:ind w:left="860" w:right="219" w:hanging="327"/>
        <w:spacing w:after="0" w:line="262" w:lineRule="auto"/>
        <w:tabs>
          <w:tab w:leader="none" w:pos="86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subject to this Policy is permitted to transact in the stock or any securities of another company, which is a customer, vendor, supplier, or entity with which the Company may be negotiating a major transaction, while such person is in possession of material non-public information about such other company as a result of the person’s employment or relationship with the Company.</w:t>
      </w:r>
    </w:p>
    <w:p>
      <w:pPr>
        <w:jc w:val="both"/>
        <w:ind w:left="860" w:right="219" w:hanging="327"/>
        <w:spacing w:after="0" w:line="267" w:lineRule="auto"/>
        <w:tabs>
          <w:tab w:leader="none" w:pos="86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subject to this Policy may disclose material non-public information about the Company, or material non-public information about another company as described in the prior bullet, to others who may then transact or may pass it along to others who may transact in the securities of the issuer to which the material non-public information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572135</wp:posOffset>
            </wp:positionV>
            <wp:extent cx="545211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03" w:name="page304"/>
    <w:bookmarkEnd w:id="303"/>
    <w:p>
      <w:pPr>
        <w:jc w:val="right"/>
        <w:ind w:right="219"/>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Transactions Subject to this Policy</w:t>
      </w:r>
    </w:p>
    <w:p>
      <w:pPr>
        <w:spacing w:after="0" w:line="166" w:lineRule="exact"/>
        <w:rPr>
          <w:sz w:val="20"/>
          <w:szCs w:val="20"/>
          <w:color w:val="auto"/>
        </w:rPr>
      </w:pPr>
    </w:p>
    <w:p>
      <w:pPr>
        <w:jc w:val="both"/>
        <w:ind w:left="200" w:right="219"/>
        <w:spacing w:after="0" w:line="267" w:lineRule="auto"/>
        <w:rPr>
          <w:sz w:val="20"/>
          <w:szCs w:val="20"/>
          <w:color w:val="auto"/>
        </w:rPr>
      </w:pPr>
      <w:r>
        <w:rPr>
          <w:rFonts w:ascii="Times New Roman" w:cs="Times New Roman" w:eastAsia="Times New Roman" w:hAnsi="Times New Roman"/>
          <w:sz w:val="20"/>
          <w:szCs w:val="20"/>
          <w:color w:val="auto"/>
        </w:rPr>
        <w:t>Except as otherwise specified in this Policy, the prohibition on insider trading outlined above applies to all transactions involving the purchase, sale, gift (including for estate planning and other tax-related or charitable purposes) or pledging of any security, including, without limitation, common stock, senior notes and any other securities, including derivative securities such as exchange-traded put or call options, exchange-traded funds, or swaps. This Policy also applies to any transaction involving a right to acquire or sell any security, as well as any other transaction that in any way depends on the price of a security. Any references herein to “transacting,” or a “transaction” shall include all of the foregoing for both the Company and any other company, which is a customer, vendor, supplier, or entity with which the Company may be negotiating a major transaction, whose material non-public information you obtain as a result of your employment or relationship with the Company.</w:t>
      </w:r>
    </w:p>
    <w:p>
      <w:pPr>
        <w:spacing w:after="0" w:line="114"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20"/>
          <w:szCs w:val="20"/>
          <w:color w:val="auto"/>
        </w:rPr>
        <w:t>Any references herein to “transacting,” or a “transaction” shall also apply to any actions taken by anyone who resides with you and anyone whose transactions in securities are subject to influence or control by you (collectively, “</w:t>
      </w:r>
      <w:r>
        <w:rPr>
          <w:rFonts w:ascii="Times New Roman" w:cs="Times New Roman" w:eastAsia="Times New Roman" w:hAnsi="Times New Roman"/>
          <w:sz w:val="20"/>
          <w:szCs w:val="20"/>
          <w:b w:val="1"/>
          <w:bCs w:val="1"/>
          <w:color w:val="auto"/>
        </w:rPr>
        <w:t>Related Entities</w:t>
      </w:r>
      <w:r>
        <w:rPr>
          <w:rFonts w:ascii="Times New Roman" w:cs="Times New Roman" w:eastAsia="Times New Roman" w:hAnsi="Times New Roman"/>
          <w:sz w:val="20"/>
          <w:szCs w:val="20"/>
          <w:color w:val="auto"/>
        </w:rPr>
        <w:t>”). For example, Related Entities include, but are not limited to, parents or children that consult with you on stock trading, any company or entity controlled by you, and trusts for which you are the trustee.</w:t>
      </w:r>
    </w:p>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Individual Responsibility</w:t>
      </w:r>
    </w:p>
    <w:p>
      <w:pPr>
        <w:spacing w:after="0" w:line="166"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20"/>
          <w:szCs w:val="20"/>
          <w:color w:val="auto"/>
        </w:rPr>
        <w:t>Each person subject to this Policy is responsible for ensuring that he or she (including his or her Related Entities) complies with this Policy and applicable insider trading laws. In all cases, the responsibility for determining whether an individual is in possession of material non-public information rests with that individual. Neither a grant of clearance to execute a transaction nor any other Company action shall in any way constitute legal advice or insulate an individual from liability for insider trading.</w:t>
      </w:r>
    </w:p>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Determining if Information is Material</w:t>
      </w:r>
    </w:p>
    <w:p>
      <w:pPr>
        <w:spacing w:after="0" w:line="166" w:lineRule="exact"/>
        <w:rPr>
          <w:sz w:val="20"/>
          <w:szCs w:val="20"/>
          <w:color w:val="auto"/>
        </w:rPr>
      </w:pPr>
    </w:p>
    <w:p>
      <w:pPr>
        <w:jc w:val="both"/>
        <w:ind w:left="200" w:right="219"/>
        <w:spacing w:after="0" w:line="270" w:lineRule="auto"/>
        <w:rPr>
          <w:sz w:val="20"/>
          <w:szCs w:val="20"/>
          <w:color w:val="auto"/>
        </w:rPr>
      </w:pPr>
      <w:r>
        <w:rPr>
          <w:rFonts w:ascii="Times New Roman" w:cs="Times New Roman" w:eastAsia="Times New Roman" w:hAnsi="Times New Roman"/>
          <w:sz w:val="20"/>
          <w:szCs w:val="20"/>
          <w:color w:val="auto"/>
        </w:rPr>
        <w:t>Information is material if there is a substantial likelihood that a reasonable investor would consider the information important in making a decision whether to purchase, hold or sell any of the Company's securities. Information may be material even if it would not alone determine the investor's decision. It is not necessary that the information would impact the trading price of the stock or other securities to be material, and either positive or negative information regarding the Company or other companies may be material. Information that is more likely to be considered material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563245</wp:posOffset>
            </wp:positionV>
            <wp:extent cx="5452110"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304" w:name="page305"/>
    <w:bookmarkEnd w:id="304"/>
    <w:p>
      <w:pPr>
        <w:jc w:val="right"/>
        <w:ind w:right="219"/>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32" w:lineRule="exact"/>
        <w:rPr>
          <w:sz w:val="20"/>
          <w:szCs w:val="20"/>
          <w:color w:val="auto"/>
        </w:rPr>
      </w:pPr>
    </w:p>
    <w:p>
      <w:pPr>
        <w:ind w:left="860" w:right="239" w:hanging="327"/>
        <w:spacing w:after="0" w:line="268" w:lineRule="auto"/>
        <w:tabs>
          <w:tab w:leader="none" w:pos="860"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and quarterly financial results, financial plans and guidance, including significant gains, losses or impairments;</w:t>
      </w:r>
    </w:p>
    <w:p>
      <w:pPr>
        <w:spacing w:after="0" w:line="1" w:lineRule="exact"/>
        <w:rPr>
          <w:rFonts w:ascii="Times New Roman" w:cs="Times New Roman" w:eastAsia="Times New Roman" w:hAnsi="Times New Roman"/>
          <w:sz w:val="20"/>
          <w:szCs w:val="20"/>
          <w:color w:val="auto"/>
        </w:rPr>
      </w:pPr>
    </w:p>
    <w:p>
      <w:pPr>
        <w:ind w:left="860" w:right="219" w:hanging="327"/>
        <w:spacing w:after="0" w:line="260" w:lineRule="auto"/>
        <w:tabs>
          <w:tab w:leader="none" w:pos="860"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Negotiations and agreements regarding significant transactions, such as joint ventures, mergers, acquisitions, and divestitures;</w:t>
      </w:r>
    </w:p>
    <w:p>
      <w:pPr>
        <w:spacing w:after="0" w:line="1" w:lineRule="exact"/>
        <w:rPr>
          <w:rFonts w:ascii="Times New Roman" w:cs="Times New Roman" w:eastAsia="Times New Roman" w:hAnsi="Times New Roman"/>
          <w:sz w:val="20"/>
          <w:szCs w:val="20"/>
          <w:color w:val="auto"/>
        </w:rPr>
      </w:pPr>
    </w:p>
    <w:p>
      <w:pPr>
        <w:ind w:left="860" w:hanging="327"/>
        <w:spacing w:after="0"/>
        <w:tabs>
          <w:tab w:leader="none" w:pos="860"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in senior management or the Board of Directors, or possible proxy contests;</w:t>
      </w:r>
    </w:p>
    <w:p>
      <w:pPr>
        <w:spacing w:after="0" w:line="13" w:lineRule="exact"/>
        <w:rPr>
          <w:rFonts w:ascii="Times New Roman" w:cs="Times New Roman" w:eastAsia="Times New Roman" w:hAnsi="Times New Roman"/>
          <w:sz w:val="20"/>
          <w:szCs w:val="20"/>
          <w:color w:val="auto"/>
        </w:rPr>
      </w:pPr>
    </w:p>
    <w:p>
      <w:pPr>
        <w:ind w:left="860" w:right="239" w:hanging="327"/>
        <w:spacing w:after="0" w:line="267" w:lineRule="auto"/>
        <w:tabs>
          <w:tab w:leader="none" w:pos="860"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Proposed or contemplated restructuring or recapitalization transactions, issuances or buybacks of securities, or other significant financing transactions;</w:t>
      </w:r>
    </w:p>
    <w:p>
      <w:pPr>
        <w:spacing w:after="0" w:line="1" w:lineRule="exact"/>
        <w:rPr>
          <w:rFonts w:ascii="Times New Roman" w:cs="Times New Roman" w:eastAsia="Times New Roman" w:hAnsi="Times New Roman"/>
          <w:sz w:val="20"/>
          <w:szCs w:val="20"/>
          <w:color w:val="auto"/>
        </w:rPr>
      </w:pPr>
    </w:p>
    <w:p>
      <w:pPr>
        <w:ind w:left="860" w:hanging="327"/>
        <w:spacing w:after="0"/>
        <w:tabs>
          <w:tab w:leader="none" w:pos="860"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changes in credit ratings by a rating agency;</w:t>
      </w:r>
    </w:p>
    <w:p>
      <w:pPr>
        <w:spacing w:after="0" w:line="13" w:lineRule="exact"/>
        <w:rPr>
          <w:rFonts w:ascii="Times New Roman" w:cs="Times New Roman" w:eastAsia="Times New Roman" w:hAnsi="Times New Roman"/>
          <w:sz w:val="20"/>
          <w:szCs w:val="20"/>
          <w:color w:val="auto"/>
        </w:rPr>
      </w:pPr>
    </w:p>
    <w:p>
      <w:pPr>
        <w:ind w:left="860" w:hanging="327"/>
        <w:spacing w:after="0"/>
        <w:tabs>
          <w:tab w:leader="none" w:pos="860"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dividend policy;</w:t>
      </w:r>
    </w:p>
    <w:p>
      <w:pPr>
        <w:spacing w:after="0" w:line="26" w:lineRule="exact"/>
        <w:rPr>
          <w:rFonts w:ascii="Times New Roman" w:cs="Times New Roman" w:eastAsia="Times New Roman" w:hAnsi="Times New Roman"/>
          <w:sz w:val="20"/>
          <w:szCs w:val="20"/>
          <w:color w:val="auto"/>
        </w:rPr>
      </w:pPr>
    </w:p>
    <w:p>
      <w:pPr>
        <w:ind w:left="860" w:right="239" w:hanging="327"/>
        <w:spacing w:after="0" w:line="267" w:lineRule="auto"/>
        <w:tabs>
          <w:tab w:leader="none" w:pos="860"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Internal financial information which departs in any significant way from projections or market expectations;</w:t>
      </w:r>
    </w:p>
    <w:p>
      <w:pPr>
        <w:spacing w:after="0" w:line="1" w:lineRule="exact"/>
        <w:rPr>
          <w:rFonts w:ascii="Times New Roman" w:cs="Times New Roman" w:eastAsia="Times New Roman" w:hAnsi="Times New Roman"/>
          <w:sz w:val="20"/>
          <w:szCs w:val="20"/>
          <w:color w:val="auto"/>
        </w:rPr>
      </w:pPr>
    </w:p>
    <w:p>
      <w:pPr>
        <w:ind w:left="860" w:right="239" w:hanging="327"/>
        <w:spacing w:after="0" w:line="260" w:lineRule="auto"/>
        <w:tabs>
          <w:tab w:leader="none" w:pos="860"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labor matters, including potential strikes, strike negotiations and terminations or layoffs of existing employees;</w:t>
      </w:r>
    </w:p>
    <w:p>
      <w:pPr>
        <w:spacing w:after="0" w:line="1" w:lineRule="exact"/>
        <w:rPr>
          <w:rFonts w:ascii="Times New Roman" w:cs="Times New Roman" w:eastAsia="Times New Roman" w:hAnsi="Times New Roman"/>
          <w:sz w:val="20"/>
          <w:szCs w:val="20"/>
          <w:color w:val="auto"/>
        </w:rPr>
      </w:pPr>
    </w:p>
    <w:p>
      <w:pPr>
        <w:ind w:left="860" w:hanging="327"/>
        <w:spacing w:after="0"/>
        <w:tabs>
          <w:tab w:leader="none" w:pos="860"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or loss of a major contract or customer;</w:t>
      </w:r>
    </w:p>
    <w:p>
      <w:pPr>
        <w:spacing w:after="0" w:line="13" w:lineRule="exact"/>
        <w:rPr>
          <w:rFonts w:ascii="Times New Roman" w:cs="Times New Roman" w:eastAsia="Times New Roman" w:hAnsi="Times New Roman"/>
          <w:sz w:val="20"/>
          <w:szCs w:val="20"/>
          <w:color w:val="auto"/>
        </w:rPr>
      </w:pPr>
    </w:p>
    <w:p>
      <w:pPr>
        <w:ind w:left="860" w:hanging="327"/>
        <w:spacing w:after="0"/>
        <w:tabs>
          <w:tab w:leader="none" w:pos="860"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cybersecurity incident; and</w:t>
      </w:r>
    </w:p>
    <w:p>
      <w:pPr>
        <w:spacing w:after="0" w:line="26" w:lineRule="exact"/>
        <w:rPr>
          <w:rFonts w:ascii="Times New Roman" w:cs="Times New Roman" w:eastAsia="Times New Roman" w:hAnsi="Times New Roman"/>
          <w:sz w:val="20"/>
          <w:szCs w:val="20"/>
          <w:color w:val="auto"/>
        </w:rPr>
      </w:pPr>
    </w:p>
    <w:p>
      <w:pPr>
        <w:ind w:left="860" w:hanging="327"/>
        <w:spacing w:after="0"/>
        <w:tabs>
          <w:tab w:leader="none" w:pos="860"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commencement or threat of major litigation or any developments relating to such litigation.</w:t>
      </w:r>
    </w:p>
    <w:p>
      <w:pPr>
        <w:spacing w:after="0" w:line="173" w:lineRule="exact"/>
        <w:rPr>
          <w:sz w:val="20"/>
          <w:szCs w:val="20"/>
          <w:color w:val="auto"/>
        </w:rPr>
      </w:pPr>
    </w:p>
    <w:p>
      <w:pPr>
        <w:jc w:val="both"/>
        <w:ind w:left="200" w:right="219"/>
        <w:spacing w:after="0" w:line="275" w:lineRule="auto"/>
        <w:rPr>
          <w:sz w:val="20"/>
          <w:szCs w:val="20"/>
          <w:color w:val="auto"/>
        </w:rPr>
      </w:pPr>
      <w:r>
        <w:rPr>
          <w:rFonts w:ascii="Times New Roman" w:cs="Times New Roman" w:eastAsia="Times New Roman" w:hAnsi="Times New Roman"/>
          <w:sz w:val="20"/>
          <w:szCs w:val="20"/>
          <w:color w:val="auto"/>
        </w:rPr>
        <w:t>This list is not comprehensive. Any person subject to this Policy that believes they may be in possession of material non-public information should consult the office of the Chief Legal Officer (“</w:t>
      </w:r>
      <w:r>
        <w:rPr>
          <w:rFonts w:ascii="Times New Roman" w:cs="Times New Roman" w:eastAsia="Times New Roman" w:hAnsi="Times New Roman"/>
          <w:sz w:val="20"/>
          <w:szCs w:val="20"/>
          <w:b w:val="1"/>
          <w:bCs w:val="1"/>
          <w:color w:val="auto"/>
        </w:rPr>
        <w:t>CLO Office</w:t>
      </w:r>
      <w:r>
        <w:rPr>
          <w:rFonts w:ascii="Times New Roman" w:cs="Times New Roman" w:eastAsia="Times New Roman" w:hAnsi="Times New Roman"/>
          <w:sz w:val="20"/>
          <w:szCs w:val="20"/>
          <w:color w:val="auto"/>
        </w:rPr>
        <w:t>”) before transacting in the Company’s securities.</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Definition of Non-Public Information</w:t>
      </w:r>
    </w:p>
    <w:p>
      <w:pPr>
        <w:spacing w:after="0" w:line="166" w:lineRule="exact"/>
        <w:rPr>
          <w:sz w:val="20"/>
          <w:szCs w:val="20"/>
          <w:color w:val="auto"/>
        </w:rPr>
      </w:pPr>
    </w:p>
    <w:p>
      <w:pPr>
        <w:jc w:val="both"/>
        <w:ind w:left="200" w:right="219"/>
        <w:spacing w:after="0" w:line="267" w:lineRule="auto"/>
        <w:rPr>
          <w:sz w:val="20"/>
          <w:szCs w:val="20"/>
          <w:color w:val="auto"/>
        </w:rPr>
      </w:pPr>
      <w:r>
        <w:rPr>
          <w:rFonts w:ascii="Times New Roman" w:cs="Times New Roman" w:eastAsia="Times New Roman" w:hAnsi="Times New Roman"/>
          <w:sz w:val="20"/>
          <w:szCs w:val="20"/>
          <w:color w:val="auto"/>
        </w:rPr>
        <w:t>Unless the information has been included in a broad public disclosure and sufficient time has passed for the securities markets to absorb the information, you should consider such information to be non-public. Broad public disclosure of material information is typically accomplished through a press release or an SEC filing, and in some cases during pre-announced publicly accessible conference calls or webcasts or by posting on the Company’s website. After material information has been publicly disclosed, you should continue to refrain from transacting in the Company’s securities until the information has been adequately disseminated and the investing public has had time to absorb the information. Generally, information will have been adequately disseminated and absorbed by the investing public when two full trading days have elapsed since its release.</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Material Non-public Information Must be Kept Confidential</w:t>
      </w:r>
    </w:p>
    <w:p>
      <w:pPr>
        <w:spacing w:after="0" w:line="179" w:lineRule="exact"/>
        <w:rPr>
          <w:sz w:val="20"/>
          <w:szCs w:val="20"/>
          <w:color w:val="auto"/>
        </w:rPr>
      </w:pPr>
    </w:p>
    <w:p>
      <w:pPr>
        <w:jc w:val="both"/>
        <w:ind w:left="200" w:right="219"/>
        <w:spacing w:after="0" w:line="272" w:lineRule="auto"/>
        <w:rPr>
          <w:sz w:val="20"/>
          <w:szCs w:val="20"/>
          <w:color w:val="auto"/>
        </w:rPr>
      </w:pPr>
      <w:r>
        <w:rPr>
          <w:rFonts w:ascii="Times New Roman" w:cs="Times New Roman" w:eastAsia="Times New Roman" w:hAnsi="Times New Roman"/>
          <w:sz w:val="20"/>
          <w:szCs w:val="20"/>
          <w:color w:val="auto"/>
        </w:rPr>
        <w:t>Material non-public information about the Company or its counterparties is the property of the Company, and unauthorized disclosure or use of that information is prohibited. Material non-public information should be maintained in strict confidence and should be discussed, even within the Company, only with persons who have a “need to know.” You should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475615</wp:posOffset>
            </wp:positionV>
            <wp:extent cx="5452110"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305" w:name="page306"/>
    <w:bookmarkEnd w:id="305"/>
    <w:p>
      <w:pPr>
        <w:jc w:val="right"/>
        <w:ind w:right="219"/>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32"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20"/>
          <w:szCs w:val="20"/>
          <w:color w:val="auto"/>
        </w:rPr>
        <w:t>exercise the utmost care in dealing with information that may be material non-public information. Confidential information should not be discussed in public places, such as hallways, elevators, restaurants and airplanes. Written confidential information should be similarly safeguarded, and should not be shared on message boards or websites. Even inadvertent releases of material non-public information can expose the Company, you and your family and friends to civil and criminal penalties.</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Appearance of Improper Trading</w:t>
      </w:r>
    </w:p>
    <w:p>
      <w:pPr>
        <w:spacing w:after="0" w:line="179"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20"/>
          <w:szCs w:val="20"/>
          <w:color w:val="auto"/>
        </w:rPr>
        <w:t>All persons subject to this Policy are encouraged to seek advice from the CLO Office in connection with any issue that could create an appearance of improper trading. Additionally, all persons subject to this Policy are strongly discouraged from engaging in any “hedging” type transaction that has the effect of offsetting a decrease in the market value of any security of the Company, as such transactions are described in more detail under “Restrictions on Hedging and Pledging Transactions” below.</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Certain Exceptions</w:t>
      </w:r>
    </w:p>
    <w:p>
      <w:pPr>
        <w:spacing w:after="0" w:line="166" w:lineRule="exact"/>
        <w:rPr>
          <w:sz w:val="20"/>
          <w:szCs w:val="20"/>
          <w:color w:val="auto"/>
        </w:rPr>
      </w:pPr>
    </w:p>
    <w:p>
      <w:pPr>
        <w:jc w:val="both"/>
        <w:ind w:left="200" w:right="219"/>
        <w:spacing w:after="0" w:line="270" w:lineRule="auto"/>
        <w:rPr>
          <w:sz w:val="20"/>
          <w:szCs w:val="20"/>
          <w:color w:val="auto"/>
        </w:rPr>
      </w:pPr>
      <w:r>
        <w:rPr>
          <w:rFonts w:ascii="Times New Roman" w:cs="Times New Roman" w:eastAsia="Times New Roman" w:hAnsi="Times New Roman"/>
          <w:sz w:val="20"/>
          <w:szCs w:val="20"/>
          <w:u w:val="single" w:color="auto"/>
          <w:color w:val="auto"/>
        </w:rPr>
        <w:t>Equity-based Awards</w:t>
      </w:r>
      <w:r>
        <w:rPr>
          <w:rFonts w:ascii="Times New Roman" w:cs="Times New Roman" w:eastAsia="Times New Roman" w:hAnsi="Times New Roman"/>
          <w:sz w:val="20"/>
          <w:szCs w:val="20"/>
          <w:color w:val="auto"/>
        </w:rPr>
        <w:t xml:space="preserve">: This Policy does not restrict the granting or vesting of equity awards under the Company’s equity compensation plans, including restricted stock or performance share units; the exercise of employee stock options under the Company’s equity compensation plans; or the net tax withholding on such awards. This Policy </w:t>
      </w:r>
      <w:r>
        <w:rPr>
          <w:rFonts w:ascii="Times New Roman" w:cs="Times New Roman" w:eastAsia="Times New Roman" w:hAnsi="Times New Roman"/>
          <w:sz w:val="20"/>
          <w:szCs w:val="20"/>
          <w:b w:val="1"/>
          <w:bCs w:val="1"/>
          <w:color w:val="auto"/>
        </w:rPr>
        <w:t>does apply</w:t>
      </w:r>
      <w:r>
        <w:rPr>
          <w:rFonts w:ascii="Times New Roman" w:cs="Times New Roman" w:eastAsia="Times New Roman" w:hAnsi="Times New Roman"/>
          <w:sz w:val="20"/>
          <w:szCs w:val="20"/>
          <w:color w:val="auto"/>
        </w:rPr>
        <w:t xml:space="preserve"> to any sale of stock as part of a broker-assisted “cashless exercise” of an option or any other market sale for the purpose of generating funds to pay the exercise price of an option or to cover additional tax obligations, unless such transaction is pursuant to a 10b5-1 Plan (as discussed below).</w:t>
      </w:r>
    </w:p>
    <w:p>
      <w:pPr>
        <w:spacing w:after="0" w:line="106" w:lineRule="exact"/>
        <w:rPr>
          <w:sz w:val="20"/>
          <w:szCs w:val="20"/>
          <w:color w:val="auto"/>
        </w:rPr>
      </w:pPr>
    </w:p>
    <w:p>
      <w:pPr>
        <w:jc w:val="both"/>
        <w:ind w:left="200" w:right="219"/>
        <w:spacing w:after="0" w:line="277" w:lineRule="auto"/>
        <w:rPr>
          <w:sz w:val="20"/>
          <w:szCs w:val="20"/>
          <w:color w:val="auto"/>
        </w:rPr>
      </w:pPr>
      <w:r>
        <w:rPr>
          <w:rFonts w:ascii="Times New Roman" w:cs="Times New Roman" w:eastAsia="Times New Roman" w:hAnsi="Times New Roman"/>
          <w:sz w:val="20"/>
          <w:szCs w:val="20"/>
          <w:u w:val="single" w:color="auto"/>
          <w:color w:val="auto"/>
        </w:rPr>
        <w:t>401(k) / Deferral Plan</w:t>
      </w:r>
      <w:r>
        <w:rPr>
          <w:rFonts w:ascii="Times New Roman" w:cs="Times New Roman" w:eastAsia="Times New Roman" w:hAnsi="Times New Roman"/>
          <w:sz w:val="20"/>
          <w:szCs w:val="20"/>
          <w:color w:val="auto"/>
        </w:rPr>
        <w:t xml:space="preserve">: This Policy does not restrict purchases of Company securities or investments in the Company stock fund through a Company 401(k) Plan or Deferral Plan resulting from a prior payroll election. This Policy </w:t>
      </w:r>
      <w:r>
        <w:rPr>
          <w:rFonts w:ascii="Times New Roman" w:cs="Times New Roman" w:eastAsia="Times New Roman" w:hAnsi="Times New Roman"/>
          <w:sz w:val="20"/>
          <w:szCs w:val="20"/>
          <w:b w:val="1"/>
          <w:bCs w:val="1"/>
          <w:color w:val="auto"/>
        </w:rPr>
        <w:t>does apply</w:t>
      </w:r>
      <w:r>
        <w:rPr>
          <w:rFonts w:ascii="Times New Roman" w:cs="Times New Roman" w:eastAsia="Times New Roman" w:hAnsi="Times New Roman"/>
          <w:sz w:val="20"/>
          <w:szCs w:val="20"/>
          <w:color w:val="auto"/>
        </w:rPr>
        <w:t xml:space="preserve"> to an election to make a transfer of money into or out of the Company stock fund.</w:t>
      </w:r>
    </w:p>
    <w:p>
      <w:pPr>
        <w:spacing w:after="0" w:line="99" w:lineRule="exact"/>
        <w:rPr>
          <w:sz w:val="20"/>
          <w:szCs w:val="20"/>
          <w:color w:val="auto"/>
        </w:rPr>
      </w:pPr>
    </w:p>
    <w:p>
      <w:pPr>
        <w:jc w:val="both"/>
        <w:ind w:left="200" w:right="219"/>
        <w:spacing w:after="0" w:line="275" w:lineRule="auto"/>
        <w:rPr>
          <w:sz w:val="20"/>
          <w:szCs w:val="20"/>
          <w:color w:val="auto"/>
        </w:rPr>
      </w:pPr>
      <w:r>
        <w:rPr>
          <w:rFonts w:ascii="Times New Roman" w:cs="Times New Roman" w:eastAsia="Times New Roman" w:hAnsi="Times New Roman"/>
          <w:sz w:val="20"/>
          <w:szCs w:val="20"/>
          <w:u w:val="single" w:color="auto"/>
          <w:color w:val="auto"/>
        </w:rPr>
        <w:t>Employee Stock Purchase Plan</w:t>
      </w:r>
      <w:r>
        <w:rPr>
          <w:rFonts w:ascii="Times New Roman" w:cs="Times New Roman" w:eastAsia="Times New Roman" w:hAnsi="Times New Roman"/>
          <w:sz w:val="20"/>
          <w:szCs w:val="20"/>
          <w:color w:val="auto"/>
        </w:rPr>
        <w:t xml:space="preserve">: This Policy does not restrict your purchases of Company stock through the employee stock purchase plan resulting from a prior payroll election. This Policy </w:t>
      </w:r>
      <w:r>
        <w:rPr>
          <w:rFonts w:ascii="Times New Roman" w:cs="Times New Roman" w:eastAsia="Times New Roman" w:hAnsi="Times New Roman"/>
          <w:sz w:val="20"/>
          <w:szCs w:val="20"/>
          <w:b w:val="1"/>
          <w:bCs w:val="1"/>
          <w:color w:val="auto"/>
        </w:rPr>
        <w:t>does apply</w:t>
      </w:r>
      <w:r>
        <w:rPr>
          <w:rFonts w:ascii="Times New Roman" w:cs="Times New Roman" w:eastAsia="Times New Roman" w:hAnsi="Times New Roman"/>
          <w:sz w:val="20"/>
          <w:szCs w:val="20"/>
          <w:color w:val="auto"/>
        </w:rPr>
        <w:t xml:space="preserve"> to your contribution elections and to sales of stock acquired under the employee stock purchase plan.</w:t>
      </w:r>
    </w:p>
    <w:p>
      <w:pPr>
        <w:spacing w:after="0" w:line="110" w:lineRule="exact"/>
        <w:rPr>
          <w:sz w:val="20"/>
          <w:szCs w:val="20"/>
          <w:color w:val="auto"/>
        </w:rPr>
      </w:pPr>
    </w:p>
    <w:p>
      <w:pPr>
        <w:jc w:val="both"/>
        <w:ind w:left="200" w:right="219"/>
        <w:spacing w:after="0" w:line="277" w:lineRule="auto"/>
        <w:rPr>
          <w:sz w:val="20"/>
          <w:szCs w:val="20"/>
          <w:color w:val="auto"/>
        </w:rPr>
      </w:pPr>
      <w:r>
        <w:rPr>
          <w:rFonts w:ascii="Times New Roman" w:cs="Times New Roman" w:eastAsia="Times New Roman" w:hAnsi="Times New Roman"/>
          <w:sz w:val="20"/>
          <w:szCs w:val="20"/>
          <w:u w:val="single" w:color="auto"/>
          <w:color w:val="auto"/>
        </w:rPr>
        <w:t>Rule 10b5-1 Plans</w:t>
      </w:r>
      <w:r>
        <w:rPr>
          <w:rFonts w:ascii="Times New Roman" w:cs="Times New Roman" w:eastAsia="Times New Roman" w:hAnsi="Times New Roman"/>
          <w:sz w:val="20"/>
          <w:szCs w:val="20"/>
          <w:color w:val="auto"/>
        </w:rPr>
        <w:t>: Rule 10b5-1 under the Securities Exchange Act of 1934, as amended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allows individuals to adopt a binding written plan to transact in securities in the future. The plan must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adopted when the individual is not in possession of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480060</wp:posOffset>
            </wp:positionV>
            <wp:extent cx="545211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306" w:name="page307"/>
    <w:bookmarkEnd w:id="306"/>
    <w:p>
      <w:pPr>
        <w:jc w:val="right"/>
        <w:ind w:right="219"/>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32" w:lineRule="exact"/>
        <w:rPr>
          <w:sz w:val="20"/>
          <w:szCs w:val="20"/>
          <w:color w:val="auto"/>
        </w:rPr>
      </w:pPr>
    </w:p>
    <w:p>
      <w:pPr>
        <w:jc w:val="both"/>
        <w:ind w:left="200" w:right="219"/>
        <w:spacing w:after="0" w:line="267" w:lineRule="auto"/>
        <w:rPr>
          <w:sz w:val="20"/>
          <w:szCs w:val="20"/>
          <w:color w:val="auto"/>
        </w:rPr>
      </w:pPr>
      <w:r>
        <w:rPr>
          <w:rFonts w:ascii="Times New Roman" w:cs="Times New Roman" w:eastAsia="Times New Roman" w:hAnsi="Times New Roman"/>
          <w:sz w:val="20"/>
          <w:szCs w:val="20"/>
          <w:color w:val="auto"/>
        </w:rPr>
        <w:t>non-public information. The plan does not allow the individual to exercise any influence over the future transactions by requiring that the individual set forth the amount, price and/or dates of future transactions, or a formula or mechanism for automatically determining how and when to make transactions. This may be a useful tool for someone with exposure to material non-public information in the course of their duties that needs to sell Company securities on a fixed date, that has employee stock options expiring in the near future, or that wants more flexibility in the timing of their transactions. Use of Rule 10b5-1 Plans is subject to precise rules and restrictions, including applicable cooling-off periods after plan adoption of modification. Contact the CLO Office for additional information on use of Rule 10b5-1 Plans and before adopting, modifying or terminating an existing Rule 10b5-1 Plan or any similar arrangement.</w:t>
      </w:r>
    </w:p>
    <w:p>
      <w:pPr>
        <w:spacing w:after="0" w:line="114"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20"/>
          <w:szCs w:val="20"/>
          <w:u w:val="single" w:color="auto"/>
          <w:color w:val="auto"/>
        </w:rPr>
        <w:t>Post-employment Transactions</w:t>
      </w:r>
      <w:r>
        <w:rPr>
          <w:rFonts w:ascii="Times New Roman" w:cs="Times New Roman" w:eastAsia="Times New Roman" w:hAnsi="Times New Roman"/>
          <w:sz w:val="20"/>
          <w:szCs w:val="20"/>
          <w:color w:val="auto"/>
        </w:rPr>
        <w:t>: You are prohibited from transacting in Company securities while aware of material non-public information that you learned while you were employed, even after your employment ends, until that information has become public or is no longer material. In addition, a Director or Executive Officer (as defined below) may have reporting obligations for up to six months after his or her departure from the Company.</w:t>
      </w:r>
    </w:p>
    <w:p>
      <w:pPr>
        <w:spacing w:after="0" w:line="119" w:lineRule="exact"/>
        <w:rPr>
          <w:sz w:val="20"/>
          <w:szCs w:val="20"/>
          <w:color w:val="auto"/>
        </w:rPr>
      </w:pPr>
    </w:p>
    <w:p>
      <w:pPr>
        <w:jc w:val="both"/>
        <w:ind w:left="200" w:right="239"/>
        <w:spacing w:after="0" w:line="297" w:lineRule="auto"/>
        <w:rPr>
          <w:sz w:val="20"/>
          <w:szCs w:val="20"/>
          <w:color w:val="auto"/>
        </w:rPr>
      </w:pPr>
      <w:r>
        <w:rPr>
          <w:rFonts w:ascii="Times New Roman" w:cs="Times New Roman" w:eastAsia="Times New Roman" w:hAnsi="Times New Roman"/>
          <w:sz w:val="20"/>
          <w:szCs w:val="20"/>
          <w:u w:val="single" w:color="auto"/>
          <w:color w:val="auto"/>
        </w:rPr>
        <w:t>Diversified Mutual Funds</w:t>
      </w:r>
      <w:r>
        <w:rPr>
          <w:rFonts w:ascii="Times New Roman" w:cs="Times New Roman" w:eastAsia="Times New Roman" w:hAnsi="Times New Roman"/>
          <w:sz w:val="20"/>
          <w:szCs w:val="20"/>
          <w:color w:val="auto"/>
        </w:rPr>
        <w:t>: This Policy does not restrict transactions in diversified mutual funds that are invested in the Company’s securities.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ADDITIONAL REQUIREMENTS APPLICABLE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DIRECTORS, EXECUTIVE OFFICERS AND DESIGNATED INSIDERS</w:t>
      </w:r>
    </w:p>
    <w:p>
      <w:pPr>
        <w:spacing w:after="0" w:line="2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Trading Windows and Black-out Periods</w:t>
      </w:r>
    </w:p>
    <w:p>
      <w:pPr>
        <w:spacing w:after="0" w:line="179" w:lineRule="exact"/>
        <w:rPr>
          <w:sz w:val="20"/>
          <w:szCs w:val="20"/>
          <w:color w:val="auto"/>
        </w:rPr>
      </w:pPr>
    </w:p>
    <w:p>
      <w:pPr>
        <w:jc w:val="both"/>
        <w:ind w:left="200" w:right="219"/>
        <w:spacing w:after="0" w:line="268" w:lineRule="auto"/>
        <w:rPr>
          <w:sz w:val="20"/>
          <w:szCs w:val="20"/>
          <w:color w:val="auto"/>
        </w:rPr>
      </w:pPr>
      <w:r>
        <w:rPr>
          <w:rFonts w:ascii="Times New Roman" w:cs="Times New Roman" w:eastAsia="Times New Roman" w:hAnsi="Times New Roman"/>
          <w:sz w:val="20"/>
          <w:szCs w:val="20"/>
          <w:color w:val="auto"/>
        </w:rPr>
        <w:t>The Company has established trading windows and black-out periods for the Company’s Directors, Executive Officers (those officers subject to Section 16 of the Exchange Act) and Designated Insiders. “</w:t>
      </w:r>
      <w:r>
        <w:rPr>
          <w:rFonts w:ascii="Times New Roman" w:cs="Times New Roman" w:eastAsia="Times New Roman" w:hAnsi="Times New Roman"/>
          <w:sz w:val="20"/>
          <w:szCs w:val="20"/>
          <w:b w:val="1"/>
          <w:bCs w:val="1"/>
          <w:color w:val="auto"/>
        </w:rPr>
        <w:t>Designated Insiders</w:t>
      </w:r>
      <w:r>
        <w:rPr>
          <w:rFonts w:ascii="Times New Roman" w:cs="Times New Roman" w:eastAsia="Times New Roman" w:hAnsi="Times New Roman"/>
          <w:sz w:val="20"/>
          <w:szCs w:val="20"/>
          <w:color w:val="auto"/>
        </w:rPr>
        <w:t>” are those employees who have been designated as such for purposes of this Policy because they are likely to be exposed to material non-public information in the course of their duties.</w:t>
      </w:r>
    </w:p>
    <w:p>
      <w:pPr>
        <w:spacing w:after="0" w:line="120" w:lineRule="exact"/>
        <w:rPr>
          <w:sz w:val="20"/>
          <w:szCs w:val="20"/>
          <w:color w:val="auto"/>
        </w:rPr>
      </w:pPr>
    </w:p>
    <w:p>
      <w:pPr>
        <w:jc w:val="both"/>
        <w:ind w:left="200" w:right="219"/>
        <w:spacing w:after="0" w:line="275" w:lineRule="auto"/>
        <w:rPr>
          <w:sz w:val="20"/>
          <w:szCs w:val="20"/>
          <w:color w:val="auto"/>
        </w:rPr>
      </w:pPr>
      <w:r>
        <w:rPr>
          <w:rFonts w:ascii="Times New Roman" w:cs="Times New Roman" w:eastAsia="Times New Roman" w:hAnsi="Times New Roman"/>
          <w:sz w:val="20"/>
          <w:szCs w:val="20"/>
          <w:color w:val="auto"/>
        </w:rPr>
        <w:t>The open trading windows are the only times during which Directors, Executive Officers and Designated Insiders may transact in Company securities, and no transactions may be made during the black-out periods (unless they are made pursuant to a Rule 10b5-1 Plan).</w:t>
      </w:r>
    </w:p>
    <w:p>
      <w:pPr>
        <w:spacing w:after="0" w:line="100"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20"/>
          <w:szCs w:val="20"/>
          <w:color w:val="auto"/>
        </w:rPr>
        <w:t>The Company has determined that its black-out period will generally begin at 5:00 p.m., Houston time, on the fifth business day of the third month of each fiscal quarter. The Company has determined that its black-out period will generally end at 5:00 p.m., Houston time, on the second full trading day following the Company’s quarterly earnings release. In the event that the Company releases its quarterly earnings results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475615</wp:posOffset>
            </wp:positionV>
            <wp:extent cx="5452110"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307" w:name="page308"/>
    <w:bookmarkEnd w:id="307"/>
    <w:p>
      <w:pPr>
        <w:jc w:val="right"/>
        <w:ind w:right="219"/>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32" w:lineRule="exact"/>
        <w:rPr>
          <w:sz w:val="20"/>
          <w:szCs w:val="20"/>
          <w:color w:val="auto"/>
        </w:rPr>
      </w:pPr>
    </w:p>
    <w:p>
      <w:pPr>
        <w:jc w:val="both"/>
        <w:ind w:left="200" w:right="219"/>
        <w:spacing w:after="0" w:line="297" w:lineRule="auto"/>
        <w:rPr>
          <w:sz w:val="20"/>
          <w:szCs w:val="20"/>
          <w:color w:val="auto"/>
        </w:rPr>
      </w:pPr>
      <w:r>
        <w:rPr>
          <w:rFonts w:ascii="Times New Roman" w:cs="Times New Roman" w:eastAsia="Times New Roman" w:hAnsi="Times New Roman"/>
          <w:sz w:val="20"/>
          <w:szCs w:val="20"/>
          <w:color w:val="auto"/>
        </w:rPr>
        <w:t>the market opens on a trading day, then such trading day shall constitute the first full trading day following the release.</w:t>
      </w:r>
    </w:p>
    <w:p>
      <w:pPr>
        <w:spacing w:after="0" w:line="79" w:lineRule="exact"/>
        <w:rPr>
          <w:sz w:val="20"/>
          <w:szCs w:val="20"/>
          <w:color w:val="auto"/>
        </w:rPr>
      </w:pPr>
    </w:p>
    <w:p>
      <w:pPr>
        <w:jc w:val="both"/>
        <w:ind w:left="200" w:right="219"/>
        <w:spacing w:after="0" w:line="272" w:lineRule="auto"/>
        <w:rPr>
          <w:sz w:val="20"/>
          <w:szCs w:val="20"/>
          <w:color w:val="auto"/>
        </w:rPr>
      </w:pPr>
      <w:r>
        <w:rPr>
          <w:rFonts w:ascii="Times New Roman" w:cs="Times New Roman" w:eastAsia="Times New Roman" w:hAnsi="Times New Roman"/>
          <w:sz w:val="20"/>
          <w:szCs w:val="20"/>
          <w:color w:val="auto"/>
        </w:rPr>
        <w:t>While the Company will generally follow the time frames set forth above, other non-public developments or information may cause the Company to revise the trading window, close the trading window early, not open the trading window at all, or establish additional event-specific restrictions and trading windows. The Company will not typically be able to provide advance notice of such changes.</w:t>
      </w:r>
    </w:p>
    <w:p>
      <w:pPr>
        <w:spacing w:after="0" w:line="118" w:lineRule="exact"/>
        <w:rPr>
          <w:sz w:val="20"/>
          <w:szCs w:val="20"/>
          <w:color w:val="auto"/>
        </w:rPr>
      </w:pPr>
    </w:p>
    <w:p>
      <w:pPr>
        <w:jc w:val="both"/>
        <w:ind w:left="200" w:right="219"/>
        <w:spacing w:after="0" w:line="267" w:lineRule="auto"/>
        <w:rPr>
          <w:sz w:val="20"/>
          <w:szCs w:val="20"/>
          <w:color w:val="auto"/>
        </w:rPr>
      </w:pPr>
      <w:r>
        <w:rPr>
          <w:rFonts w:ascii="Times New Roman" w:cs="Times New Roman" w:eastAsia="Times New Roman" w:hAnsi="Times New Roman"/>
          <w:sz w:val="20"/>
          <w:szCs w:val="20"/>
          <w:color w:val="auto"/>
        </w:rPr>
        <w:t>An open trading window does not imply that you may transact freely, without regard to whether you are in possession of material non-public information. The Company has chosen to prohibit any transactions during the black-out period to avoid an appearance of impropriety, as this is the time period that Directors, Executive Officers and Designated Insiders are most likely to be in possession of material non-public information. However, it is possible that, even during an open trading window, an individual may be in possession of material information that has not been made public, and therefore, that individual must still refrain from transacting until such information has been publicly disclosed.</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Stock Ownership Guidelines</w:t>
      </w:r>
    </w:p>
    <w:p>
      <w:pPr>
        <w:spacing w:after="0" w:line="166"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20"/>
          <w:szCs w:val="20"/>
          <w:color w:val="auto"/>
        </w:rPr>
        <w:t>All Directors, Executive Officers, Area Vice Presidents and certain Corporate Vice Presidents are subject to the Company’s Stock Ownership Guidelines. Any individual subject to the Stock Ownership Guidelines is responsible for ensuring that his or her transactions in Company securities comply with the Stock Ownership Guidelines. Questions about the Stock Ownership Guidelines should be directed to the VP, Total Rewards or the CLO Office.</w:t>
      </w:r>
    </w:p>
    <w:p>
      <w:pPr>
        <w:spacing w:after="0" w:line="102" w:lineRule="exact"/>
        <w:rPr>
          <w:sz w:val="20"/>
          <w:szCs w:val="20"/>
          <w:color w:val="auto"/>
        </w:rPr>
      </w:pPr>
    </w:p>
    <w:p>
      <w:pPr>
        <w:jc w:val="both"/>
        <w:ind w:left="200" w:right="239"/>
        <w:spacing w:after="0" w:line="301" w:lineRule="auto"/>
        <w:rPr>
          <w:sz w:val="20"/>
          <w:szCs w:val="20"/>
          <w:color w:val="auto"/>
        </w:rPr>
      </w:pPr>
      <w:r>
        <w:rPr>
          <w:rFonts w:ascii="Times New Roman" w:cs="Times New Roman" w:eastAsia="Times New Roman" w:hAnsi="Times New Roman"/>
          <w:sz w:val="20"/>
          <w:szCs w:val="20"/>
          <w:b w:val="1"/>
          <w:bCs w:val="1"/>
          <w:color w:val="auto"/>
        </w:rPr>
        <w:t>Pre-Clearance of Transactions Required for Directors, Executive Officers and Individuals Subject to Stock Ownership Guidelines</w:t>
      </w:r>
    </w:p>
    <w:p>
      <w:pPr>
        <w:spacing w:after="0" w:line="75" w:lineRule="exact"/>
        <w:rPr>
          <w:sz w:val="20"/>
          <w:szCs w:val="20"/>
          <w:color w:val="auto"/>
        </w:rPr>
      </w:pPr>
    </w:p>
    <w:p>
      <w:pPr>
        <w:jc w:val="both"/>
        <w:ind w:left="200" w:right="219"/>
        <w:spacing w:after="0" w:line="267" w:lineRule="auto"/>
        <w:rPr>
          <w:sz w:val="20"/>
          <w:szCs w:val="20"/>
          <w:color w:val="auto"/>
        </w:rPr>
      </w:pPr>
      <w:r>
        <w:rPr>
          <w:rFonts w:ascii="Times New Roman" w:cs="Times New Roman" w:eastAsia="Times New Roman" w:hAnsi="Times New Roman"/>
          <w:sz w:val="20"/>
          <w:szCs w:val="20"/>
          <w:color w:val="auto"/>
        </w:rPr>
        <w:t>All transactions of securities by Directors, Executive Officers and other individuals subject to the Company’s Stock Ownership Guidelines must be pre-cleared through the CLO Office regardless of when the transaction occurs. It is important to keep in mind that clearance, when given, will be only for the current trading window, which may close at any time. The people in the CLO Office currently authorized to grant pre-clearance for transacting are the Executive Vice President, Chief Legal Officer and General Counsel – Securities and Governance / Corporate Secretary.</w:t>
      </w:r>
    </w:p>
    <w:p>
      <w:pPr>
        <w:spacing w:after="0" w:line="125" w:lineRule="exact"/>
        <w:rPr>
          <w:sz w:val="20"/>
          <w:szCs w:val="20"/>
          <w:color w:val="auto"/>
        </w:rPr>
      </w:pPr>
    </w:p>
    <w:p>
      <w:pPr>
        <w:jc w:val="both"/>
        <w:ind w:left="200" w:right="219"/>
        <w:spacing w:after="0" w:line="268" w:lineRule="auto"/>
        <w:rPr>
          <w:sz w:val="20"/>
          <w:szCs w:val="20"/>
          <w:color w:val="auto"/>
        </w:rPr>
      </w:pPr>
      <w:r>
        <w:rPr>
          <w:rFonts w:ascii="Times New Roman" w:cs="Times New Roman" w:eastAsia="Times New Roman" w:hAnsi="Times New Roman"/>
          <w:sz w:val="20"/>
          <w:szCs w:val="20"/>
          <w:color w:val="auto"/>
        </w:rPr>
        <w:t>Designated Insiders that are not subject to the Company’s Stock Ownership Guidelines are not required to obtain pre-clearance from the CLO Office to transact in Company securities during an open trading window, but all Designated Insiders are responsible for their compliance with this Policy, including the hedging and pledging restrictions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570865</wp:posOffset>
            </wp:positionV>
            <wp:extent cx="5452110"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308" w:name="page309"/>
    <w:bookmarkEnd w:id="308"/>
    <w:p>
      <w:pPr>
        <w:jc w:val="right"/>
        <w:ind w:right="219"/>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Use of Rule 10b5-1 Plans</w:t>
      </w:r>
    </w:p>
    <w:p>
      <w:pPr>
        <w:spacing w:after="0" w:line="166" w:lineRule="exact"/>
        <w:rPr>
          <w:sz w:val="20"/>
          <w:szCs w:val="20"/>
          <w:color w:val="auto"/>
        </w:rPr>
      </w:pPr>
    </w:p>
    <w:p>
      <w:pPr>
        <w:jc w:val="both"/>
        <w:ind w:left="200" w:right="219"/>
        <w:spacing w:after="0" w:line="267" w:lineRule="auto"/>
        <w:rPr>
          <w:sz w:val="20"/>
          <w:szCs w:val="20"/>
          <w:color w:val="auto"/>
        </w:rPr>
      </w:pPr>
      <w:r>
        <w:rPr>
          <w:rFonts w:ascii="Times New Roman" w:cs="Times New Roman" w:eastAsia="Times New Roman" w:hAnsi="Times New Roman"/>
          <w:sz w:val="20"/>
          <w:szCs w:val="20"/>
          <w:color w:val="auto"/>
        </w:rPr>
        <w:t>Directors, Executive Officers, and Designated Insiders may only adopt or modify a Rule 10b5-1 Plan during an open trading window and following approval from the CLO Office. The CLO Office must also be consulted in advance of any termination of a previously adopted Rule 10b5-1 Plan. The Company is required to disclose the adoption, modification or termination of Rule 10b5-1 Plans by Directors and Executive Officers in its quarterly SEC reporting. The CLO Office will assist you in confirming compliance with the rules and restrictions applicable to use of Rule 10b5-1 Plans, including applicable cooling-off periods after plan adoption or modification.</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Restrictions on Hedging and Pledging Transactions</w:t>
      </w:r>
    </w:p>
    <w:p>
      <w:pPr>
        <w:spacing w:after="0" w:line="166" w:lineRule="exact"/>
        <w:rPr>
          <w:sz w:val="20"/>
          <w:szCs w:val="20"/>
          <w:color w:val="auto"/>
        </w:rPr>
      </w:pPr>
    </w:p>
    <w:p>
      <w:pPr>
        <w:jc w:val="both"/>
        <w:ind w:left="200" w:right="219"/>
        <w:spacing w:after="0" w:line="265" w:lineRule="auto"/>
        <w:rPr>
          <w:sz w:val="20"/>
          <w:szCs w:val="20"/>
          <w:color w:val="auto"/>
        </w:rPr>
      </w:pPr>
      <w:r>
        <w:rPr>
          <w:rFonts w:ascii="Times New Roman" w:cs="Times New Roman" w:eastAsia="Times New Roman" w:hAnsi="Times New Roman"/>
          <w:sz w:val="20"/>
          <w:szCs w:val="20"/>
          <w:color w:val="auto"/>
        </w:rPr>
        <w:t>Directors, Executive Officers, and Designated Insiders may not hedge their ownership of Company securities, including (a) transacting in options, warrants, puts and calls or similar derivative instruments on any security of the Company; (b) selling any security of the Company “short”; (c) purchasing any financial instruments (including prepaid variable forward contracts, equity swaps, collars and exchange funds) or (d) otherwise engaging in transactions that are designed to or have the effect of offsetting any decrease in the market value of any security of the Company granted as compensation or held, directly or indirectly, by the Director, Executive Officer or Designated Insider. A derivative is a security whose value is based on the performance of an underlying financial asset, index or other investment (diversified mutual funds are not included in this definition). This paragraph does not apply to the exercise of employee stock options granted by the Company. While individuals that are not Directors, Executive Officers or Designated Insiders are not prohibited from hedging, all employees are highly discouraged from entering into hedging transactions.</w:t>
      </w:r>
    </w:p>
    <w:p>
      <w:pPr>
        <w:spacing w:after="0" w:line="112" w:lineRule="exact"/>
        <w:rPr>
          <w:sz w:val="20"/>
          <w:szCs w:val="20"/>
          <w:color w:val="auto"/>
        </w:rPr>
      </w:pPr>
    </w:p>
    <w:p>
      <w:pPr>
        <w:jc w:val="both"/>
        <w:ind w:left="200" w:right="219"/>
        <w:spacing w:after="0" w:line="277" w:lineRule="auto"/>
        <w:rPr>
          <w:sz w:val="20"/>
          <w:szCs w:val="20"/>
          <w:color w:val="auto"/>
        </w:rPr>
      </w:pPr>
      <w:r>
        <w:rPr>
          <w:rFonts w:ascii="Times New Roman" w:cs="Times New Roman" w:eastAsia="Times New Roman" w:hAnsi="Times New Roman"/>
          <w:sz w:val="20"/>
          <w:szCs w:val="20"/>
          <w:color w:val="auto"/>
        </w:rPr>
        <w:t>Directors, Executive Officers and Designated Insiders may not hold Company securities in a margin account or pledge Company securities as collateral for any loan or other obligation because such arrangements could result in Company securities being sold at a time when the insider is aware of material non-public information about the Company.</w:t>
      </w:r>
    </w:p>
    <w:p>
      <w:pPr>
        <w:spacing w:after="0" w:line="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Other Considerations for Directors and Officers</w:t>
      </w:r>
    </w:p>
    <w:p>
      <w:pPr>
        <w:spacing w:after="0" w:line="166"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20"/>
          <w:szCs w:val="20"/>
          <w:u w:val="single" w:color="auto"/>
          <w:color w:val="auto"/>
        </w:rPr>
        <w:t>Section 16 Reporting Compliance</w:t>
      </w:r>
      <w:r>
        <w:rPr>
          <w:rFonts w:ascii="Times New Roman" w:cs="Times New Roman" w:eastAsia="Times New Roman" w:hAnsi="Times New Roman"/>
          <w:sz w:val="20"/>
          <w:szCs w:val="20"/>
          <w:color w:val="auto"/>
        </w:rPr>
        <w:t>: Almost all transactions in Company securities by Directors and Executive Officers must be reported to the SEC on a Form 4 within two business days. Accordingly, it is critical that Directors and Executive Officers comply with the pre-clearance requirements and fully communicate their transactions to the CLO Office. In addition, a Director or Executive Officer can have reporting obligations for up to six months after his or her departure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570230</wp:posOffset>
            </wp:positionV>
            <wp:extent cx="5452110"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309" w:name="page310"/>
    <w:bookmarkEnd w:id="309"/>
    <w:p>
      <w:pPr>
        <w:jc w:val="right"/>
        <w:ind w:right="219"/>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32"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20"/>
          <w:szCs w:val="20"/>
          <w:u w:val="single" w:color="auto"/>
          <w:color w:val="auto"/>
        </w:rPr>
        <w:t>Short-Swing Profit Liability:</w:t>
      </w:r>
      <w:r>
        <w:rPr>
          <w:rFonts w:ascii="Times New Roman" w:cs="Times New Roman" w:eastAsia="Times New Roman" w:hAnsi="Times New Roman"/>
          <w:sz w:val="20"/>
          <w:szCs w:val="20"/>
          <w:color w:val="auto"/>
        </w:rPr>
        <w:t xml:space="preserve"> Under Section 16(b) of the Exchange Act, Directors and Executive Officers are liable to the Company for any profits realized by them from any purchase and sale (or sale and purchase) of the Company’s stock that occur within a period of less than six months, unless there is an exemption. For example, if an Executive Officer purchases stock on October 30 and sells stock on April 28 (one day short of the six-month window), then the Executive Officer must disgorge the short-swing profits made on the transaction, unless an exemption applies. Liability for short-swing profits is imposed in a mechanical fashion without regard to whether the Director or Executive Officer intended to violate the section or transacted on inside information. Many </w:t>
      </w:r>
      <w:r>
        <w:rPr>
          <w:rFonts w:ascii="Times New Roman" w:cs="Times New Roman" w:eastAsia="Times New Roman" w:hAnsi="Times New Roman"/>
          <w:sz w:val="20"/>
          <w:szCs w:val="20"/>
          <w:b w:val="1"/>
          <w:bCs w:val="1"/>
          <w:color w:val="auto"/>
        </w:rPr>
        <w:t>non-discretionary</w:t>
      </w:r>
      <w:r>
        <w:rPr>
          <w:rFonts w:ascii="Times New Roman" w:cs="Times New Roman" w:eastAsia="Times New Roman" w:hAnsi="Times New Roman"/>
          <w:sz w:val="20"/>
          <w:szCs w:val="20"/>
          <w:color w:val="auto"/>
        </w:rPr>
        <w:t xml:space="preserve"> transactions between the Company and the subject individuals are exempt, including grants or vesting of compensatory stock awards. However, selling stock on the open market to cover option costs in a cashless exercise is not exempt. Additionally, discretionary fund-switching and cash withdrawals from the Company stock fund within the 401(k) Plan or Deferral Plan are exempt from short-swing profit liability </w:t>
      </w:r>
      <w:r>
        <w:rPr>
          <w:rFonts w:ascii="Times New Roman" w:cs="Times New Roman" w:eastAsia="Times New Roman" w:hAnsi="Times New Roman"/>
          <w:sz w:val="20"/>
          <w:szCs w:val="20"/>
          <w:b w:val="1"/>
          <w:bCs w:val="1"/>
          <w:color w:val="auto"/>
        </w:rPr>
        <w:t>only if</w:t>
      </w:r>
      <w:r>
        <w:rPr>
          <w:rFonts w:ascii="Times New Roman" w:cs="Times New Roman" w:eastAsia="Times New Roman" w:hAnsi="Times New Roman"/>
          <w:sz w:val="20"/>
          <w:szCs w:val="20"/>
          <w:color w:val="auto"/>
        </w:rPr>
        <w:t xml:space="preserve"> it has been at least six months since the most recent “opposite way” election.</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TRANSACTIONS BY THE COMPANY</w:t>
      </w:r>
    </w:p>
    <w:p>
      <w:pPr>
        <w:spacing w:after="0" w:line="274" w:lineRule="exact"/>
        <w:rPr>
          <w:sz w:val="20"/>
          <w:szCs w:val="20"/>
          <w:color w:val="auto"/>
        </w:rPr>
      </w:pPr>
    </w:p>
    <w:p>
      <w:pPr>
        <w:jc w:val="both"/>
        <w:ind w:left="200" w:right="219"/>
        <w:spacing w:after="0" w:line="277" w:lineRule="auto"/>
        <w:rPr>
          <w:sz w:val="20"/>
          <w:szCs w:val="20"/>
          <w:color w:val="auto"/>
        </w:rPr>
      </w:pPr>
      <w:r>
        <w:rPr>
          <w:rFonts w:ascii="Times New Roman" w:cs="Times New Roman" w:eastAsia="Times New Roman" w:hAnsi="Times New Roman"/>
          <w:sz w:val="20"/>
          <w:szCs w:val="20"/>
          <w:color w:val="auto"/>
        </w:rPr>
        <w:t>From time to time, the Company may engage in transactions in its own securities. It is the Company’s policy to comply with all applicable securities and state laws, (including appropriate approvals by the Board of Directors or applicable committee, if required) when engaging in transactions in the Company’s securities.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200" w:right="219"/>
        <w:spacing w:after="0" w:line="284" w:lineRule="auto"/>
        <w:rPr>
          <w:sz w:val="20"/>
          <w:szCs w:val="20"/>
          <w:color w:val="auto"/>
        </w:rPr>
      </w:pPr>
      <w:r>
        <w:rPr>
          <w:rFonts w:ascii="Times New Roman" w:cs="Times New Roman" w:eastAsia="Times New Roman" w:hAnsi="Times New Roman"/>
          <w:sz w:val="20"/>
          <w:szCs w:val="20"/>
          <w:b w:val="1"/>
          <w:bCs w:val="1"/>
          <w:u w:val="single" w:color="auto"/>
          <w:color w:val="auto"/>
        </w:rPr>
        <w:t>Approval Requirements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Directors, Executive Officers and other individuals subject to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Ownership Guidelines must obtain pre-clearance from one of the following individuals prior to engaging in any transaction covered by this Policy:</w:t>
      </w:r>
    </w:p>
    <w:p>
      <w:pPr>
        <w:spacing w:after="0" w:line="92" w:lineRule="exact"/>
        <w:rPr>
          <w:sz w:val="20"/>
          <w:szCs w:val="20"/>
          <w:color w:val="auto"/>
        </w:rPr>
      </w:pPr>
    </w:p>
    <w:p>
      <w:pPr>
        <w:ind w:left="860" w:hanging="327"/>
        <w:spacing w:after="0"/>
        <w:tabs>
          <w:tab w:leader="none" w:pos="86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Vice President, Chief Legal Officer</w:t>
      </w:r>
    </w:p>
    <w:p>
      <w:pPr>
        <w:spacing w:after="0" w:line="28" w:lineRule="exact"/>
        <w:rPr>
          <w:rFonts w:ascii="Times New Roman" w:cs="Times New Roman" w:eastAsia="Times New Roman" w:hAnsi="Times New Roman"/>
          <w:sz w:val="20"/>
          <w:szCs w:val="20"/>
          <w:color w:val="auto"/>
        </w:rPr>
      </w:pPr>
    </w:p>
    <w:p>
      <w:pPr>
        <w:ind w:left="860" w:hanging="327"/>
        <w:spacing w:after="0"/>
        <w:tabs>
          <w:tab w:leader="none" w:pos="86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Counsel – Securities and Governance / Corporate Secretary</w:t>
      </w:r>
    </w:p>
    <w:p>
      <w:pPr>
        <w:spacing w:after="0" w:line="169" w:lineRule="exact"/>
        <w:rPr>
          <w:sz w:val="20"/>
          <w:szCs w:val="20"/>
          <w:color w:val="auto"/>
        </w:rPr>
      </w:pPr>
    </w:p>
    <w:p>
      <w:pPr>
        <w:ind w:left="200" w:right="219"/>
        <w:spacing w:after="0" w:line="329" w:lineRule="auto"/>
        <w:rPr>
          <w:sz w:val="20"/>
          <w:szCs w:val="20"/>
          <w:color w:val="auto"/>
        </w:rPr>
      </w:pPr>
      <w:r>
        <w:rPr>
          <w:rFonts w:ascii="Times New Roman" w:cs="Times New Roman" w:eastAsia="Times New Roman" w:hAnsi="Times New Roman"/>
          <w:sz w:val="20"/>
          <w:szCs w:val="20"/>
          <w:b w:val="1"/>
          <w:bCs w:val="1"/>
          <w:u w:val="single" w:color="auto"/>
          <w:color w:val="auto"/>
        </w:rPr>
        <w:t>Policy Owner/Contact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Policy Owner is the Executive Vice President, Chief Legal Officer. Questions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regarding this Policy should be directed to the Policy Owner or the Policy Liaison.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-262890</wp:posOffset>
            </wp:positionV>
            <wp:extent cx="3111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5">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u w:val="single" w:color="auto"/>
          <w:color w:val="auto"/>
        </w:rPr>
        <w:t>Variance Approvals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Policy variances must be obtained in advance from the Policy Owner.</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u w:val="single" w:color="auto"/>
          <w:color w:val="auto"/>
        </w:rPr>
        <w:t>Policy Liaison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General Counsel – Securities and Governance /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865505</wp:posOffset>
            </wp:positionV>
            <wp:extent cx="545211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310" w:name="page311"/>
    <w:bookmarkEnd w:id="310"/>
    <w:p>
      <w:pPr>
        <w:jc w:val="right"/>
        <w:ind w:right="219"/>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Policy Approved by the Waste Management, Inc. Board of Directors on December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608330</wp:posOffset>
            </wp:positionV>
            <wp:extent cx="545211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311" w:name="page312"/>
    <w:bookmarkEnd w:id="311"/>
    <w:tbl>
      <w:tblPr>
        <w:tblLayout w:type="fixed"/>
        <w:tblInd w:w="4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594"/>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Entity Name</w:t>
            </w:r>
          </w:p>
        </w:tc>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Jurisdiction of Formation / Incorporation</w:t>
            </w:r>
          </w:p>
        </w:tc>
      </w:tr>
      <w:tr>
        <w:trPr>
          <w:trHeight w:val="142"/>
        </w:trPr>
        <w:tc>
          <w:tcPr>
            <w:tcW w:w="53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635952 Ontario Inc.</w:t>
            </w:r>
          </w:p>
        </w:tc>
        <w:tc>
          <w:tcPr>
            <w:tcW w:w="240" w:type="dxa"/>
            <w:vAlign w:val="bottom"/>
            <w:tcBorders>
              <w:top w:val="single" w:sz="8" w:color="CCEEFF"/>
            </w:tcBorders>
            <w:shd w:val="clear" w:color="auto" w:fill="CCEEFF"/>
          </w:tcPr>
          <w:p>
            <w:pPr>
              <w:spacing w:after="0"/>
              <w:rPr>
                <w:sz w:val="12"/>
                <w:szCs w:val="12"/>
                <w:color w:val="auto"/>
              </w:rPr>
            </w:pPr>
          </w:p>
        </w:tc>
        <w:tc>
          <w:tcPr>
            <w:tcW w:w="33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Ontario</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ADS Renewable Energy - Stones Throw, LLC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ADS Renewable Energy - Wolf Creek, LLC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ADS Solid Waste of NJ, Inc.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New Jersey</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Acquisition Sub, LLC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Recycling Services Atlanta, LLC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Recycling Services Gulf Coast, LLC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Alabama Holdings, LLC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Alabama, LLC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Biloxi MRF, LLC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Birmingham, Inc.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Alabama</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Blackfoot Landfill, Inc.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Blue Ridge Landfill, Inc.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Kentucky</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Carolinas, LLC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Cedar Hill Landfill, Inc.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Alabama</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Central Florida, LLC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Cobb County Recycling Facility, LLC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Cranberry Creek Landfill, LLC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Cypress Acres Landfill, Inc.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East, Inc.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Evergreen Landfill, Inc.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9"/>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Grand Bahama Limited</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New Providence</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Hancock County, LLC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Jones Road, LLC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Lancaster Landfill, LLC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Magnolia Ridge Landfill, LLC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9"/>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Maple Hill Landfill, Inc.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Missouri</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Midwest, LLC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Mississippi Holdings, Inc.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Mississippi, LLC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Morehead Landfill, Inc.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Kentucky</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National Accounts Holdings, Inc.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National Accounts, Inc.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North Carolina</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North Alabama Landfill, LLC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Oak Ridge Landfill, Inc.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Missouri</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Orchard Hills Landfill, Inc.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Illinois</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Pasco County, LLC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Pecan Row Landfill, LLC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9"/>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Pontiac Landfill, Inc.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Renewable Energy, LLC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Rogers Lake, LLC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Solid Waste Leasing Corp.</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Solid Waste Midwest, LLC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Solid Waste Southeast, Inc.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9"/>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South, LLC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Star Ridge Landfill, Inc.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Alabama</w:t>
            </w:r>
          </w:p>
        </w:tc>
        <w:tc>
          <w:tcPr>
            <w:tcW w:w="20" w:type="dxa"/>
            <w:vAlign w:val="bottom"/>
          </w:tcPr>
          <w:p>
            <w:pPr>
              <w:spacing w:after="0"/>
              <w:rPr>
                <w:sz w:val="12"/>
                <w:szCs w:val="12"/>
                <w:color w:val="auto"/>
              </w:rPr>
            </w:pPr>
          </w:p>
        </w:tc>
      </w:tr>
      <w:tr>
        <w:trPr>
          <w:trHeight w:val="149"/>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Sumner Landfill, Inc.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Illinois</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Taylor County Landfill, LLC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Tennessee Holdings, Inc.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Transport, LLC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Valley Meadows Landfill, LLC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Valley View Landfill, Inc.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Illinois</w:t>
            </w:r>
          </w:p>
        </w:tc>
        <w:tc>
          <w:tcPr>
            <w:tcW w:w="20" w:type="dxa"/>
            <w:vAlign w:val="bottom"/>
          </w:tcPr>
          <w:p>
            <w:pPr>
              <w:spacing w:after="0"/>
              <w:rPr>
                <w:sz w:val="12"/>
                <w:szCs w:val="12"/>
                <w:color w:val="auto"/>
              </w:rPr>
            </w:pPr>
          </w:p>
        </w:tc>
      </w:tr>
      <w:tr>
        <w:trPr>
          <w:trHeight w:val="149"/>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Vasko Rubbish Removal, Inc.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Vasko Solid Waste, Inc.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Wayne County Landfill, Inc.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Illinois</w:t>
            </w:r>
          </w:p>
        </w:tc>
        <w:tc>
          <w:tcPr>
            <w:tcW w:w="20" w:type="dxa"/>
            <w:vAlign w:val="bottom"/>
          </w:tcPr>
          <w:p>
            <w:pPr>
              <w:spacing w:after="0"/>
              <w:rPr>
                <w:sz w:val="12"/>
                <w:szCs w:val="12"/>
                <w:color w:val="auto"/>
              </w:rPr>
            </w:pPr>
          </w:p>
        </w:tc>
      </w:tr>
      <w:tr>
        <w:trPr>
          <w:trHeight w:val="149"/>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Inc.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Subsidiary Holding Company, LLC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Environmental Technical Services, L.L.C.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Agave Investment Holdings, LLC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Agri Service Recycling, Inc.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9"/>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Akron Regional Landfill, Inc.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Alabama Waste Disposal Solutions, L.L.C.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Alabama</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Alliance Sanitary Landfill, Inc.</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9"/>
        </w:trPr>
        <w:tc>
          <w:tcPr>
            <w:tcW w:w="5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Alpharetta Transfer Station, LLC</w:t>
            </w:r>
          </w:p>
        </w:tc>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5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Ambimed-Gestão Ambiental, Lda.</w:t>
            </w:r>
          </w:p>
        </w:tc>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Portugal</w:t>
            </w:r>
          </w:p>
        </w:tc>
        <w:tc>
          <w:tcPr>
            <w:tcW w:w="20" w:type="dxa"/>
            <w:vAlign w:val="bottom"/>
          </w:tcPr>
          <w:p>
            <w:pPr>
              <w:spacing w:after="0"/>
              <w:rPr>
                <w:sz w:val="12"/>
                <w:szCs w:val="12"/>
                <w:color w:val="auto"/>
              </w:rPr>
            </w:pPr>
          </w:p>
        </w:tc>
      </w:tr>
      <w:tr>
        <w:trPr>
          <w:trHeight w:val="18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American Landfill, Inc.</w:t>
            </w:r>
          </w:p>
        </w:tc>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Ohio</w:t>
            </w:r>
          </w:p>
        </w:tc>
        <w:tc>
          <w:tcPr>
            <w:tcW w:w="20" w:type="dxa"/>
            <w:vAlign w:val="bottom"/>
          </w:tcPr>
          <w:p>
            <w:pPr>
              <w:spacing w:after="0"/>
              <w:rPr>
                <w:sz w:val="16"/>
                <w:szCs w:val="16"/>
                <w:color w:val="auto"/>
              </w:rPr>
            </w:pPr>
          </w:p>
        </w:tc>
      </w:tr>
      <w:tr>
        <w:trPr>
          <w:trHeight w:val="521"/>
        </w:trPr>
        <w:tc>
          <w:tcPr>
            <w:tcW w:w="5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12" w:name="page313"/>
    <w:bookmarkEnd w:id="31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Ameriwaste, LLC</w:t>
            </w:r>
          </w:p>
        </w:tc>
        <w:tc>
          <w:tcPr>
            <w:tcW w:w="454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3"/>
                <w:szCs w:val="13"/>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Anderson Landfill, Inc.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Antelope Valley Recycling and Disposal Facility, Inc.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Arden Landfill, Inc.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Artech Reduction Technologies Limited</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United Kingdom</w:t>
            </w:r>
          </w:p>
        </w:tc>
        <w:tc>
          <w:tcPr>
            <w:tcW w:w="20" w:type="dxa"/>
            <w:vAlign w:val="bottom"/>
          </w:tcPr>
          <w:p>
            <w:pPr>
              <w:spacing w:after="0"/>
              <w:rPr>
                <w:sz w:val="12"/>
                <w:szCs w:val="12"/>
                <w:color w:val="auto"/>
              </w:rPr>
            </w:pPr>
          </w:p>
        </w:tc>
      </w:tr>
      <w:tr>
        <w:trPr>
          <w:trHeight w:val="149"/>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Atlantic Waste Disposal, Inc.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Automated Salvage Transport Co., L.L.C.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Avalon South, LLC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Azormed - Gestão Ambiental Açoreana, Lda</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Portugal</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Azusa Land Reclamation, Inc.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B&amp;B Landfill, Inc.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Baton Rouge Renewable Energy LLC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Big Dipper Enterprises, Inc.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North Dakota</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Blackwood Land Development, LLC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Bluegrass Containment, L.L.C.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Bluesky Resource, LLC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Burlington Transfer Station, Inc.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Burney Disposal, Inc.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Burnsville Sanitary Landfill, Inc.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 Newco, L.L.C.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Cal Sierra Disposal</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9"/>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Caldwell Partnership, LLC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California Asbestos Monofill, Inc.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Canadian Waste Services Holdings Inc.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Ontario</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 Sanitation Company</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Nevada</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Capitol Disposal, Inc.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Alaska</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Carolina Grading, Inc.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South Carolina</w:t>
            </w:r>
          </w:p>
        </w:tc>
        <w:tc>
          <w:tcPr>
            <w:tcW w:w="20" w:type="dxa"/>
            <w:vAlign w:val="bottom"/>
          </w:tcPr>
          <w:p>
            <w:pPr>
              <w:spacing w:after="0"/>
              <w:rPr>
                <w:sz w:val="12"/>
                <w:szCs w:val="12"/>
                <w:color w:val="auto"/>
              </w:rPr>
            </w:pPr>
          </w:p>
        </w:tc>
      </w:tr>
      <w:tr>
        <w:trPr>
          <w:trHeight w:val="149"/>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Caruthers Mill C&amp;D Landfill, LLC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Cedar Ridge Landfill, Inc.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Central Disposal Systems, Inc.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Iowa</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CEP V WBLI US Blocker Company</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CGS Leasing, Inc.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9"/>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CGS Services, Inc.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Chadwick Road Landfill, Inc.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Chambers Clearview Environmental Landfill, Inc.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Chambers Development Company, Inc.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Chambers Development of Ohio, Inc.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Chambers of Georgia, Inc.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Chambers of Mississippi, Inc.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Chemical Waste Management of Indiana, L.L.C.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Chemical Waste Management of the Northwest, Inc.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Washington</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Chemical Waste Management, Inc.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Chesser Island Road Landfill, Inc.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9"/>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City Environmental Services, Inc. of Waters</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9"/>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Cleburne Landfill Company Corp.</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Alabama</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Coast Waste Management, Inc.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Coastal Distribution, LLC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9"/>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Coastal Recyclers Landfill, LLC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Community Refuse Service, LLC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Connecticut Valley Sanitary Waste Disposal, Inc.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9"/>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Conservation Services, Inc.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Colorado</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Continuus Materials Group, LLC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Continuus Materials HoldCo, LLC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Continuus Materials Intellectual Property, LLC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Continuus Materials of Fairless Hills, LLC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Continuus Materials of Iowa, LLC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Continuus Materials of PA, LLC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Continuus Materials, LLC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Coshocton Landfill, Inc.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Cougar Landfill, Inc.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9"/>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Countryside Landfill, Inc.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Illinois</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CR Group, LLC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Utah</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Curtis Creek Recovery Systems, Inc.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9"/>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Cuyahoga Landfill, Inc.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CWM Chemical Services, L.L.C.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Dauphin Meadows, Inc.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9"/>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Deep Valley Landfill, Inc.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Deer Track Park Landfill, Inc.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Deffenbaugh Disposal, Inc.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Deffenbaugh Group Holdings, Inc.</w:t>
            </w:r>
          </w:p>
        </w:tc>
        <w:tc>
          <w:tcPr>
            <w:tcW w:w="454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Deffenbaugh Industries, Inc.</w:t>
            </w:r>
          </w:p>
        </w:tc>
        <w:tc>
          <w:tcPr>
            <w:tcW w:w="454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Missouri</w:t>
            </w:r>
          </w:p>
        </w:tc>
        <w:tc>
          <w:tcPr>
            <w:tcW w:w="20" w:type="dxa"/>
            <w:vAlign w:val="bottom"/>
          </w:tcPr>
          <w:p>
            <w:pPr>
              <w:spacing w:after="0"/>
              <w:rPr>
                <w:sz w:val="12"/>
                <w:szCs w:val="12"/>
                <w:color w:val="auto"/>
              </w:rPr>
            </w:pPr>
          </w:p>
        </w:tc>
      </w:tr>
      <w:tr>
        <w:trPr>
          <w:trHeight w:val="560"/>
        </w:trPr>
        <w:tc>
          <w:tcPr>
            <w:tcW w:w="43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313" w:name="page314"/>
    <w:bookmarkEnd w:id="31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Deffenbaugh of Arkansas, LLC</w:t>
            </w:r>
          </w:p>
        </w:tc>
        <w:tc>
          <w:tcPr>
            <w:tcW w:w="3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Kansas</w:t>
            </w: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Deffenbaugh Recycling Company, L.L.C.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Kansas</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Del Almo Landfill, L.L.C.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Delaware Basin Landfills, LLC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Delaware Recyclable Products, Inc.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Dickinson Landfill, Inc.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Disposal Service, Incorporated</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West Virginia</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DLD Limited Partnership</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Dolphin Services &amp; Chemicals, LLC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Dolphin-One, LLC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EarthCare of Nevada, LLC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Earthmovers Landfill, L.L.C.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East Liverpool Landfill, Inc.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Eastern One Land Corporation</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ECOLOGÍA Y TÉCNICAS SANITARIAS, S.L.U.</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Spain</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Eco-Safe Systems, LLC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Tennessee</w:t>
            </w:r>
          </w:p>
        </w:tc>
        <w:tc>
          <w:tcPr>
            <w:tcW w:w="20" w:type="dxa"/>
            <w:vAlign w:val="bottom"/>
          </w:tcPr>
          <w:p>
            <w:pPr>
              <w:spacing w:after="0"/>
              <w:rPr>
                <w:sz w:val="12"/>
                <w:szCs w:val="12"/>
                <w:color w:val="auto"/>
              </w:rPr>
            </w:pPr>
          </w:p>
        </w:tc>
      </w:tr>
      <w:tr>
        <w:trPr>
          <w:trHeight w:val="149"/>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Eco-Vista, LLC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Arkansas</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eCycling Services, L.L.C.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ELDA Landfill, Inc.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Elk River Landfill, Inc.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Energy Injection Services of Mississippi, LLC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9"/>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Envirofil of Illinois, Inc.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Illinois</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EnviroSolutions Dulles, LLC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Virginia</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EnviroSolutions Holdings, Inc.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EnviroSolutions Real Property Holdings, Inc.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Evergreen Landfill, Inc.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Evergreen Recycling and Disposal Facility, Inc.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Farm Properties LLC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FDS Disposal II, LLC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Firetower Landfill, LLC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Fred J. Eckert Sanitary Service, Inc.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Oregon</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Furnace Associates, Inc.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Virginia</w:t>
            </w:r>
          </w:p>
        </w:tc>
        <w:tc>
          <w:tcPr>
            <w:tcW w:w="20" w:type="dxa"/>
            <w:vAlign w:val="bottom"/>
          </w:tcPr>
          <w:p>
            <w:pPr>
              <w:spacing w:after="0"/>
              <w:rPr>
                <w:sz w:val="12"/>
                <w:szCs w:val="12"/>
                <w:color w:val="auto"/>
              </w:rPr>
            </w:pPr>
          </w:p>
        </w:tc>
      </w:tr>
      <w:tr>
        <w:trPr>
          <w:trHeight w:val="149"/>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G.I. Industries</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Utah</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 Landfills, Inc.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Gallia Landfill, Inc.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Garnet of Maryland, Inc.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Gateway Transfer Station, LLC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9"/>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Georgia Waste Systems, LLC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Giordano Recycling, L.L.C.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Glades Landfill, LLC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Glen's Sanitary Landfill, Inc.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Grand Central Sanitary Landfill, Inc.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Greenbow, LLC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Alabama</w:t>
            </w:r>
          </w:p>
        </w:tc>
        <w:tc>
          <w:tcPr>
            <w:tcW w:w="20" w:type="dxa"/>
            <w:vAlign w:val="bottom"/>
          </w:tcPr>
          <w:p>
            <w:pPr>
              <w:spacing w:after="0"/>
              <w:rPr>
                <w:sz w:val="12"/>
                <w:szCs w:val="12"/>
                <w:color w:val="auto"/>
              </w:rPr>
            </w:pPr>
          </w:p>
        </w:tc>
      </w:tr>
      <w:tr>
        <w:trPr>
          <w:trHeight w:val="149"/>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Greenstar Allentown, LLC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Greenstar Mid-America, LLC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Greenstar Paterson, LLC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Greenstar Pittsburgh, LLC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Greenstar, LLC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Guadalupe Mines Mutual Water Company</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9"/>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Guadalupe Rubbish Disposal Co., Inc.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Ham Lake Haulers, Inc.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Harmony Landfill, LP</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Harris Sanitation, Inc.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Harwood Landfill, Inc.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Hedco Landfill Limited</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England</w:t>
            </w:r>
          </w:p>
        </w:tc>
        <w:tc>
          <w:tcPr>
            <w:tcW w:w="20" w:type="dxa"/>
            <w:vAlign w:val="bottom"/>
          </w:tcPr>
          <w:p>
            <w:pPr>
              <w:spacing w:after="0"/>
              <w:rPr>
                <w:sz w:val="12"/>
                <w:szCs w:val="12"/>
                <w:color w:val="auto"/>
              </w:rPr>
            </w:pPr>
          </w:p>
        </w:tc>
      </w:tr>
      <w:tr>
        <w:trPr>
          <w:trHeight w:val="149"/>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Highstar Royal Oaks I, Inc.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Highstar Royal Oaks II, Inc.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Hillsboro Landfill Inc.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Oregon</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Holyoke Sanitary Landfill, Inc.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HWStar Holdings Corp.</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 Landfills, L.L.C.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IQI - Instituto para a Qualidade em Imagem e Proteçção Radiológica, S.A.</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Portugal</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IWStar Waste Holdings Corp.</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Jahner Sanitation, Inc.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North Dakota</w:t>
            </w:r>
          </w:p>
        </w:tc>
        <w:tc>
          <w:tcPr>
            <w:tcW w:w="20" w:type="dxa"/>
            <w:vAlign w:val="bottom"/>
          </w:tcPr>
          <w:p>
            <w:pPr>
              <w:spacing w:after="0"/>
              <w:rPr>
                <w:sz w:val="12"/>
                <w:szCs w:val="12"/>
                <w:color w:val="auto"/>
              </w:rPr>
            </w:pPr>
          </w:p>
        </w:tc>
      </w:tr>
      <w:tr>
        <w:trPr>
          <w:trHeight w:val="148"/>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Jay County Landfill, L.L.C.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Jones Road Landfill and Recycling, Ltd.</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9"/>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K and W Landfill Inc.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Keene Road Landfill, Inc.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9"/>
        </w:trPr>
        <w:tc>
          <w:tcPr>
            <w:tcW w:w="4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Kelly Run Sanitation, Inc.</w:t>
            </w:r>
          </w:p>
        </w:tc>
        <w:tc>
          <w:tcPr>
            <w:tcW w:w="39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King George Landfill Properties, LLC</w:t>
            </w:r>
          </w:p>
        </w:tc>
        <w:tc>
          <w:tcPr>
            <w:tcW w:w="3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Virginia</w:t>
            </w:r>
          </w:p>
        </w:tc>
        <w:tc>
          <w:tcPr>
            <w:tcW w:w="20" w:type="dxa"/>
            <w:vAlign w:val="bottom"/>
          </w:tcPr>
          <w:p>
            <w:pPr>
              <w:spacing w:after="0"/>
              <w:rPr>
                <w:sz w:val="12"/>
                <w:szCs w:val="12"/>
                <w:color w:val="auto"/>
              </w:rPr>
            </w:pPr>
          </w:p>
        </w:tc>
      </w:tr>
      <w:tr>
        <w:trPr>
          <w:trHeight w:val="188"/>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King George Landfill, Inc.</w:t>
            </w:r>
          </w:p>
        </w:tc>
        <w:tc>
          <w:tcPr>
            <w:tcW w:w="39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Virginia</w:t>
            </w:r>
          </w:p>
        </w:tc>
        <w:tc>
          <w:tcPr>
            <w:tcW w:w="20" w:type="dxa"/>
            <w:vAlign w:val="bottom"/>
          </w:tcPr>
          <w:p>
            <w:pPr>
              <w:spacing w:after="0"/>
              <w:rPr>
                <w:sz w:val="16"/>
                <w:szCs w:val="16"/>
                <w:color w:val="auto"/>
              </w:rPr>
            </w:pPr>
          </w:p>
        </w:tc>
      </w:tr>
      <w:tr>
        <w:trPr>
          <w:trHeight w:val="521"/>
        </w:trPr>
        <w:tc>
          <w:tcPr>
            <w:tcW w:w="49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314" w:name="page315"/>
    <w:bookmarkEnd w:id="31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L&amp;K Group Holdings LLC</w:t>
            </w:r>
          </w:p>
        </w:tc>
        <w:tc>
          <w:tcPr>
            <w:tcW w:w="45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Kansas</w:t>
            </w:r>
          </w:p>
        </w:tc>
        <w:tc>
          <w:tcPr>
            <w:tcW w:w="20" w:type="dxa"/>
            <w:vAlign w:val="bottom"/>
          </w:tcPr>
          <w:p>
            <w:pPr>
              <w:spacing w:after="0"/>
              <w:rPr>
                <w:sz w:val="13"/>
                <w:szCs w:val="13"/>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Lakeville Recycling, L.P.</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Land South Holdings, LLC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Landfill Services of Charleston, Inc.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West Virginia</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Landsouth, Inc.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Laurel Highlands Landfill, Inc.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LCS Services, Inc.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West Virginia</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Liberty Landfill, L.L.C.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Liquid Waste Management, Inc.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Longleaf C&amp;D Disposal Facility, Inc.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Looney Bins, Inc.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Mac Land Disposal, Inc. II</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Mahoning Landfill, Inc.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Maine Regional Conversion Facility, LLC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Mass Gravel Inc.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Mc Ginnes Industrial Maintenance Corporation</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McDaniel Landfill, Inc.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North Dakota</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McGill Landfill, Inc.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Meadowfill Landfill, Inc.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Michigan Environs, Inc.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Midwest One Land Corporation</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Mobile Shredding Luxembourg</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Luxembourg</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Modesto Garbage Co., Inc.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Moor Refuse, Inc.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Moretown Landfill, Inc.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Mostoller Landfill, LLC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Mountain Indemnity Insurance Company</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Mountainview Landfill, Inc.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Utah</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Nassau County Landfill, LLC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Nassau Landfill, L.L.C.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National Guaranty Insurance Company of Vermont</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Vermont</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 PCR, LLC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New England CR L.L.C.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New Milford Landfill, L.L.C.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New Orleans Landfill, L.L.C.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NEWS MA Holdings, Inc.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NEWS Mid-Atlantic Holdings, Inc.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NEWS North East Holdings, Inc.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NEWStar Waste Holdings Corp.</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North East Waste Services, Inc.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North East Waste Transport, Inc.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New Jersey</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North Manatee Recycling and Disposal Facility, L.L.C.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Northwestern Landfill, Inc.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Nu-Way Live Oak Reclamation, Inc.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Oak Grove Disposal Co., Inc.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Oregon</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Oakleaf Global Holdings, Inc.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Oakleaf Waste Management, Inc.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Oakridge Landfill, Inc.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South Carolina</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Oakwood Landfill, Inc.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South Carolina</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OGH Acquisition Corporation</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Okeechobee Landfill, Inc.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Old Kings Road Solid Waste, LLC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Old Kings Road, LLC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One World Recycling, LLC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Orla Landfill, LLC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Ozark Ridge Landfill, Inc.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Arkansas</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 &amp; R Environmental Industries, L.L.C.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North Carolina</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Pacific Waste Management L.L.C.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Pappy, Inc.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Parker Sanitation II, Inc.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Pasco Lakes Inc.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PDC Disposal Co., Inc.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New Jersey</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Peltz H.C., LLC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Pen-Rob, Inc.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Arizona</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People's Landfill, Inc.</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Peterson Demolition, Inc.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DeWitt-Hohn Disposal Facility LP</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Disposal GP, LLC</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Environmental LP</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Holdings LP</w:t>
            </w:r>
          </w:p>
        </w:tc>
        <w:tc>
          <w:tcPr>
            <w:tcW w:w="450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Howard County Disposal Facility LP</w:t>
            </w:r>
          </w:p>
        </w:tc>
        <w:tc>
          <w:tcPr>
            <w:tcW w:w="450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561"/>
        </w:trPr>
        <w:tc>
          <w:tcPr>
            <w:tcW w:w="4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315" w:name="page316"/>
    <w:bookmarkEnd w:id="31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Petro Waste McMullen County Disposal Facility LP</w:t>
            </w:r>
          </w:p>
        </w:tc>
        <w:tc>
          <w:tcPr>
            <w:tcW w:w="3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Pecos County Disposal Facility LP</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Reagan County Disposal Facility LP</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Phoenix Resources, Inc.</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Pine Grove Landfill, Inc.</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9"/>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Pine Tree Acres, Inc.</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Prime Westport, LLC</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Quail Hollow Landfill, Inc.</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Questquill Limited</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England</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 &amp; B Landfill, Inc.</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9"/>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RAA Colorado, L.L.C.</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Colorado</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RAA Trucking, LLC</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RCI Hudson, Inc.</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Recycle America Co., L.L.C.</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Recycle America Holdings, Inc.</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Recycle Benelux B.V.</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Netherlands</w:t>
            </w:r>
          </w:p>
        </w:tc>
        <w:tc>
          <w:tcPr>
            <w:tcW w:w="20" w:type="dxa"/>
            <w:vAlign w:val="bottom"/>
          </w:tcPr>
          <w:p>
            <w:pPr>
              <w:spacing w:after="0"/>
              <w:rPr>
                <w:sz w:val="12"/>
                <w:szCs w:val="12"/>
                <w:color w:val="auto"/>
              </w:rPr>
            </w:pPr>
          </w:p>
        </w:tc>
      </w:tr>
      <w:tr>
        <w:trPr>
          <w:trHeight w:val="149"/>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Redwood Landfill, Inc.</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Refuse Services, Inc.</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Refuse, Inc.</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Nevada</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Reliable Landfill, L.L.C.</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Remote Landfill Services, Inc.</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Tennessee</w:t>
            </w:r>
          </w:p>
        </w:tc>
        <w:tc>
          <w:tcPr>
            <w:tcW w:w="20" w:type="dxa"/>
            <w:vAlign w:val="bottom"/>
          </w:tcPr>
          <w:p>
            <w:pPr>
              <w:spacing w:after="0"/>
              <w:rPr>
                <w:sz w:val="12"/>
                <w:szCs w:val="12"/>
                <w:color w:val="auto"/>
              </w:rPr>
            </w:pPr>
          </w:p>
        </w:tc>
      </w:tr>
      <w:tr>
        <w:trPr>
          <w:trHeight w:val="149"/>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Reno Disposal Co.</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Nevada</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Resco Holdings L.L.C.</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Resource Control Composting, Inc.</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Resource Control, Inc.</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Richland County Landfill, Inc.</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South Carolina</w:t>
            </w:r>
          </w:p>
        </w:tc>
        <w:tc>
          <w:tcPr>
            <w:tcW w:w="20" w:type="dxa"/>
            <w:vAlign w:val="bottom"/>
          </w:tcPr>
          <w:p>
            <w:pPr>
              <w:spacing w:after="0"/>
              <w:rPr>
                <w:sz w:val="12"/>
                <w:szCs w:val="12"/>
                <w:color w:val="auto"/>
              </w:rPr>
            </w:pPr>
          </w:p>
        </w:tc>
      </w:tr>
      <w:tr>
        <w:trPr>
          <w:trHeight w:val="149"/>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Riverbend Landfill Co.</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Oregon</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RTS Landfill, Inc.</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Rust Engineering &amp; Construction Inc.</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Rust International Inc.</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 &amp; J Landfill Limited Partnership</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 &amp; S Grading, Inc.</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West Virginia</w:t>
            </w:r>
          </w:p>
        </w:tc>
        <w:tc>
          <w:tcPr>
            <w:tcW w:w="20" w:type="dxa"/>
            <w:vAlign w:val="bottom"/>
          </w:tcPr>
          <w:p>
            <w:pPr>
              <w:spacing w:after="0"/>
              <w:rPr>
                <w:sz w:val="12"/>
                <w:szCs w:val="12"/>
                <w:color w:val="auto"/>
              </w:rPr>
            </w:pPr>
          </w:p>
        </w:tc>
      </w:tr>
      <w:tr>
        <w:trPr>
          <w:trHeight w:val="149"/>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Sanifill de Mexico (US), Inc.</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Sanitation Services Company Limited</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Bahamas</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SC Holdings, Inc.</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Shade Landfill, Inc.</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Shamrock Logistics of Long Island, LLC</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9"/>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Shawnee Rock Company</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Missouri</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Shred-it Belgium</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Belgium</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Shred-it France</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France</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Shred-it GmbH</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Shred-it Insurance Limited</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Barbados</w:t>
            </w:r>
          </w:p>
        </w:tc>
        <w:tc>
          <w:tcPr>
            <w:tcW w:w="20" w:type="dxa"/>
            <w:vAlign w:val="bottom"/>
          </w:tcPr>
          <w:p>
            <w:pPr>
              <w:spacing w:after="0"/>
              <w:rPr>
                <w:sz w:val="12"/>
                <w:szCs w:val="12"/>
                <w:color w:val="auto"/>
              </w:rPr>
            </w:pPr>
          </w:p>
        </w:tc>
      </w:tr>
      <w:tr>
        <w:trPr>
          <w:trHeight w:val="149"/>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Shred-it Limited</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United Kingdom</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Shred-it Netherlands B.V.</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Netherlands</w:t>
            </w:r>
          </w:p>
        </w:tc>
        <w:tc>
          <w:tcPr>
            <w:tcW w:w="20" w:type="dxa"/>
            <w:vAlign w:val="bottom"/>
          </w:tcPr>
          <w:p>
            <w:pPr>
              <w:spacing w:after="0"/>
              <w:rPr>
                <w:sz w:val="12"/>
                <w:szCs w:val="12"/>
                <w:color w:val="auto"/>
              </w:rPr>
            </w:pPr>
          </w:p>
        </w:tc>
      </w:tr>
      <w:tr>
        <w:trPr>
          <w:trHeight w:val="149"/>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Shred-it ROI Limited</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Ireland</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Sierra Estrella Landfill, Inc.</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Arizona</w:t>
            </w:r>
          </w:p>
        </w:tc>
        <w:tc>
          <w:tcPr>
            <w:tcW w:w="20" w:type="dxa"/>
            <w:vAlign w:val="bottom"/>
          </w:tcPr>
          <w:p>
            <w:pPr>
              <w:spacing w:after="0"/>
              <w:rPr>
                <w:sz w:val="12"/>
                <w:szCs w:val="12"/>
                <w:color w:val="auto"/>
              </w:rPr>
            </w:pPr>
          </w:p>
        </w:tc>
      </w:tr>
      <w:tr>
        <w:trPr>
          <w:trHeight w:val="149"/>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Sister's Sanitation Services, LLC</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South Hadley Landfill, LLC</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South Suburban, LLC</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9"/>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Southern One Land Corporation</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Southern Waste Services, L.L.C.</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Spruce Ridge, Inc.</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9"/>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SRCL CONSENUR CEE, S.A.U.</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Spain</w:t>
            </w:r>
          </w:p>
        </w:tc>
        <w:tc>
          <w:tcPr>
            <w:tcW w:w="20" w:type="dxa"/>
            <w:vAlign w:val="bottom"/>
          </w:tcPr>
          <w:p>
            <w:pPr>
              <w:spacing w:after="0"/>
              <w:rPr>
                <w:sz w:val="12"/>
                <w:szCs w:val="12"/>
                <w:color w:val="auto"/>
              </w:rPr>
            </w:pPr>
          </w:p>
        </w:tc>
      </w:tr>
      <w:tr>
        <w:trPr>
          <w:trHeight w:val="126"/>
        </w:trPr>
        <w:tc>
          <w:tcPr>
            <w:tcW w:w="51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SRCL Consenur CEE, S.A.U. e Inizia Networks SL Union Temporal de Empresas</w:t>
            </w:r>
          </w:p>
        </w:tc>
        <w:tc>
          <w:tcPr>
            <w:tcW w:w="3720" w:type="dxa"/>
            <w:vAlign w:val="bottom"/>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Spain</w:t>
            </w:r>
          </w:p>
        </w:tc>
        <w:tc>
          <w:tcPr>
            <w:tcW w:w="20" w:type="dxa"/>
            <w:vAlign w:val="bottom"/>
          </w:tcPr>
          <w:p>
            <w:pPr>
              <w:spacing w:after="0"/>
              <w:rPr>
                <w:sz w:val="10"/>
                <w:szCs w:val="10"/>
                <w:color w:val="auto"/>
              </w:rPr>
            </w:pPr>
          </w:p>
        </w:tc>
      </w:tr>
      <w:tr>
        <w:trPr>
          <w:trHeight w:val="17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("Consenur Inizia UTE")</w:t>
            </w:r>
          </w:p>
        </w:tc>
        <w:tc>
          <w:tcPr>
            <w:tcW w:w="3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SRCL CONSENUR, S.L.U.</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Spain</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SRCL Cyprus Ltd</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Cyprus</w:t>
            </w:r>
          </w:p>
        </w:tc>
        <w:tc>
          <w:tcPr>
            <w:tcW w:w="20" w:type="dxa"/>
            <w:vAlign w:val="bottom"/>
          </w:tcPr>
          <w:p>
            <w:pPr>
              <w:spacing w:after="0"/>
              <w:rPr>
                <w:sz w:val="12"/>
                <w:szCs w:val="12"/>
                <w:color w:val="auto"/>
              </w:rPr>
            </w:pPr>
          </w:p>
        </w:tc>
      </w:tr>
      <w:tr>
        <w:trPr>
          <w:trHeight w:val="149"/>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SRCL Ireland Limited</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Ireland</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SRCL Limited</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Ireland</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SRCL Limited</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United Kingdom</w:t>
            </w:r>
          </w:p>
        </w:tc>
        <w:tc>
          <w:tcPr>
            <w:tcW w:w="20" w:type="dxa"/>
            <w:vAlign w:val="bottom"/>
          </w:tcPr>
          <w:p>
            <w:pPr>
              <w:spacing w:after="0"/>
              <w:rPr>
                <w:sz w:val="12"/>
                <w:szCs w:val="12"/>
                <w:color w:val="auto"/>
              </w:rPr>
            </w:pPr>
          </w:p>
        </w:tc>
      </w:tr>
      <w:tr>
        <w:trPr>
          <w:trHeight w:val="149"/>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SSI Southland Holdings, Inc.</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 Johnsbury Transfer Station, Inc.</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 Paul Haulers, LLC</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BV</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Netherlands</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Europe S.à.r.L.</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Luxembourg</w:t>
            </w:r>
          </w:p>
        </w:tc>
        <w:tc>
          <w:tcPr>
            <w:tcW w:w="20" w:type="dxa"/>
            <w:vAlign w:val="bottom"/>
          </w:tcPr>
          <w:p>
            <w:pPr>
              <w:spacing w:after="0"/>
              <w:rPr>
                <w:sz w:val="12"/>
                <w:szCs w:val="12"/>
                <w:color w:val="auto"/>
              </w:rPr>
            </w:pPr>
          </w:p>
        </w:tc>
      </w:tr>
      <w:tr>
        <w:trPr>
          <w:trHeight w:val="149"/>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International Holdings Canada Limited</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United Kingdom</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International Holdings Limited</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United Kingdom</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International Limited</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United Kingdom</w:t>
            </w:r>
          </w:p>
        </w:tc>
        <w:tc>
          <w:tcPr>
            <w:tcW w:w="20" w:type="dxa"/>
            <w:vAlign w:val="bottom"/>
          </w:tcPr>
          <w:p>
            <w:pPr>
              <w:spacing w:after="0"/>
              <w:rPr>
                <w:sz w:val="12"/>
                <w:szCs w:val="12"/>
                <w:color w:val="auto"/>
              </w:rPr>
            </w:pPr>
          </w:p>
        </w:tc>
      </w:tr>
      <w:tr>
        <w:trPr>
          <w:trHeight w:val="149"/>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International, LLC</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IT Services Portugal, Unipessoal Lda.</w:t>
            </w:r>
          </w:p>
        </w:tc>
        <w:tc>
          <w:tcPr>
            <w:tcW w:w="3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Portugal</w:t>
            </w:r>
          </w:p>
        </w:tc>
        <w:tc>
          <w:tcPr>
            <w:tcW w:w="20" w:type="dxa"/>
            <w:vAlign w:val="bottom"/>
          </w:tcPr>
          <w:p>
            <w:pPr>
              <w:spacing w:after="0"/>
              <w:rPr>
                <w:sz w:val="12"/>
                <w:szCs w:val="12"/>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Management, LLC</w:t>
            </w:r>
          </w:p>
        </w:tc>
        <w:tc>
          <w:tcPr>
            <w:tcW w:w="3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561"/>
        </w:trPr>
        <w:tc>
          <w:tcPr>
            <w:tcW w:w="51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316" w:name="page317"/>
    <w:bookmarkEnd w:id="31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Stericycle of Puerto Rico, Inc.</w:t>
            </w:r>
          </w:p>
        </w:tc>
        <w:tc>
          <w:tcPr>
            <w:tcW w:w="436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Puerto Rico</w:t>
            </w: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of Washington, Inc.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Washington</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Panama S de RL</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Panama</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Inc.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ULC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British Columbia</w:t>
            </w:r>
          </w:p>
        </w:tc>
        <w:tc>
          <w:tcPr>
            <w:tcW w:w="20" w:type="dxa"/>
            <w:vAlign w:val="bottom"/>
          </w:tcPr>
          <w:p>
            <w:pPr>
              <w:spacing w:after="0"/>
              <w:rPr>
                <w:sz w:val="12"/>
                <w:szCs w:val="12"/>
                <w:color w:val="auto"/>
              </w:rPr>
            </w:pPr>
          </w:p>
        </w:tc>
      </w:tr>
      <w:tr>
        <w:trPr>
          <w:trHeight w:val="149"/>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SteriVentures, LLC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Stony Hollow Landfill, Inc.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Stroud Properties, Inc.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Suburban Landfill, Inc.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Summit Disposal Inc.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Summit, Inc.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Superior Waste Services of New York City, Inc.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T2L Trucking, LLC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Texarkana Landfill, L.L.C.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The Peltz Group, LLC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9"/>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The Waste Management Charitable Foundation</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The Woodlands of Van Buren, Inc.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TN'T Sands, Inc.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South Carolina</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Trail Ridge Landfill, Inc.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Transamerican Waste Central Landfill, Inc.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Trash Hunters, Inc.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9"/>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TW PWE GP, LLC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Twin Bridges Golf Club, L.P.</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TX Newco, L.L.C.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United Waste Systems Leasing, Inc.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Urban Sanitation Limited</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Bahamas</w:t>
            </w:r>
          </w:p>
        </w:tc>
        <w:tc>
          <w:tcPr>
            <w:tcW w:w="20" w:type="dxa"/>
            <w:vAlign w:val="bottom"/>
          </w:tcPr>
          <w:p>
            <w:pPr>
              <w:spacing w:after="0"/>
              <w:rPr>
                <w:sz w:val="12"/>
                <w:szCs w:val="12"/>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USA South Hills Landfill, Inc.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USA Valley Facility, Inc.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USA Waste Geneva Landfill, Inc.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USA Waste Landfill Operations and Transfer, Inc.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USA Waste of California, Inc.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USA Waste of Texas Landfills, Inc.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USA Waste of Virginia Landfills, Inc.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USA Waste Services of NYC, Inc.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USA Waste-Management Resources, LLC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USA-Crinc, L.L.C.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USB LIHTC Fund 2010-1, LLC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USB LIHTC-NMTC FUND 2018-2, LLC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USB LIHTC-NMTC FUND 2019-1, LLC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USB LIHTC-NMTC Fund 2022-1, LLC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USB LIHTC-NMTC Fund 2023-1, LLC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USB LIHTC-NMTC Fund 2024-1, LLC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UWS Barre, Inc.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Valley Garbage and Rubbish Company, Inc.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Vermont Hauling, Inc.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Vern's Refuse Service, Inc.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North Dakota</w:t>
            </w:r>
          </w:p>
        </w:tc>
        <w:tc>
          <w:tcPr>
            <w:tcW w:w="20" w:type="dxa"/>
            <w:vAlign w:val="bottom"/>
          </w:tcPr>
          <w:p>
            <w:pPr>
              <w:spacing w:after="0"/>
              <w:rPr>
                <w:sz w:val="12"/>
                <w:szCs w:val="12"/>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Vickery Environmental, Inc.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Vista Landfill, LLC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Voyageur Disposal Processing, Inc.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9"/>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Waitsfield Transfer Station, Inc.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Warner Company</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Away Group, Inc.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Alabama</w:t>
            </w:r>
          </w:p>
        </w:tc>
        <w:tc>
          <w:tcPr>
            <w:tcW w:w="20" w:type="dxa"/>
            <w:vAlign w:val="bottom"/>
          </w:tcPr>
          <w:p>
            <w:pPr>
              <w:spacing w:after="0"/>
              <w:rPr>
                <w:sz w:val="12"/>
                <w:szCs w:val="12"/>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Arizona Landfills, Inc.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Buckeye, L.L.C.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Collection and Recycling, Inc.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Disposal Services of Colorado, Inc.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Colorado</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Disposal Services of Maine, Inc.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Maine</w:t>
            </w:r>
          </w:p>
        </w:tc>
        <w:tc>
          <w:tcPr>
            <w:tcW w:w="20" w:type="dxa"/>
            <w:vAlign w:val="bottom"/>
          </w:tcPr>
          <w:p>
            <w:pPr>
              <w:spacing w:after="0"/>
              <w:rPr>
                <w:sz w:val="12"/>
                <w:szCs w:val="12"/>
                <w:color w:val="auto"/>
              </w:rPr>
            </w:pPr>
          </w:p>
        </w:tc>
      </w:tr>
      <w:tr>
        <w:trPr>
          <w:trHeight w:val="149"/>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Disposal Services of Maryland, Inc.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Disposal Services of Massachusetts, Inc.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Disposal Services of Oregon, Inc.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Disposal Services of Pennsylvania, Inc.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Disposal Services of Virginia, Inc.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Energy Services of Texas, LLC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Holdings, Inc.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Inc. of Florida</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9"/>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Indycoke, L.L.C.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International, Inc.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Milam Property, LLC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National Services, Inc.</w:t>
            </w:r>
          </w:p>
        </w:tc>
        <w:tc>
          <w:tcPr>
            <w:tcW w:w="434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National Transportation Services, Inc.</w:t>
            </w:r>
          </w:p>
        </w:tc>
        <w:tc>
          <w:tcPr>
            <w:tcW w:w="4340" w:type="dxa"/>
            <w:vAlign w:val="bottom"/>
            <w:shd w:val="clear" w:color="auto" w:fill="CCEEFF"/>
          </w:tcPr>
          <w:p>
            <w:pPr>
              <w:ind w:left="10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88"/>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Waste Management of Alameda County, Inc.</w:t>
            </w:r>
          </w:p>
        </w:tc>
        <w:tc>
          <w:tcPr>
            <w:tcW w:w="434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6"/>
                <w:szCs w:val="16"/>
                <w:color w:val="auto"/>
              </w:rPr>
            </w:pPr>
          </w:p>
        </w:tc>
      </w:tr>
      <w:tr>
        <w:trPr>
          <w:trHeight w:val="521"/>
        </w:trPr>
        <w:tc>
          <w:tcPr>
            <w:tcW w:w="45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317" w:name="page318"/>
    <w:bookmarkEnd w:id="317"/>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Waste Management of Alaska, Inc.</w:t>
            </w:r>
          </w:p>
        </w:tc>
        <w:tc>
          <w:tcPr>
            <w:tcW w:w="4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3"/>
                <w:szCs w:val="13"/>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Arizona,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Arkansas,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California,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Canada Corporation</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Nova Scotia</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Carolinas,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North Carolina</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Colorado,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Colorado</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Connecticut,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Delaware,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Fairless, L.L.C.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Five Oaks Recycling and Disposal Facility,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Georgia,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Hawaii,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Idaho,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Idaho</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Illinois,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Indiana Holdings One,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Indiana Holdings Two,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Indiana, L.L.C.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Iowa,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Iowa</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Kansas,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Kansas</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Kentucky Holdings,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Kentucky, L.L.C.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Leon County,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Londonderry,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Louisiana Holdings One,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Louisiana, L.L.C.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Maine,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Maine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Maryland,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Massachusetts,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Metro Atlanta,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Michigan,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Minnesota,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Mississippi,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Missouri,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Montana,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Nebraska,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Nevada,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Nevada</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New Hampshire,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Connecticut</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New Jersey,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New Mexico,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New Mexico</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New York, L.L.C.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North Dakota,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Ohio,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Oklahoma,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Oklahoma</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Oregon,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Oregon</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Pennsylvania Gas Recovery, L.L.C.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Pennsylvania,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Rhode Island,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South Carolina,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South Carolina</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South Dakota,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South Dakota</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Texas Holdings,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Texas,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Tunica Landfill,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Utah,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Utah</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Virginia,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Virginia</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Washington,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West Virginia,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Wisconsin,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Wyoming,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Partners, Inc.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Recycling and Disposal Services of California,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Recycling of New Jersey, L.L.C.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Service Center,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Inc. of Tennessee</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Tennessee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Management-Green Ridge RDF, LLC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WBLF Acquisition Company, LLC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Western One Land Corporation</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Western Waste Industries</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Western Waste of Texas, L.L.C.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Westminster Land Acquisition, LLC</w:t>
            </w:r>
          </w:p>
        </w:tc>
        <w:tc>
          <w:tcPr>
            <w:tcW w:w="40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Wheelabrator Technologies International Inc.</w:t>
            </w:r>
          </w:p>
        </w:tc>
        <w:tc>
          <w:tcPr>
            <w:tcW w:w="40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560"/>
        </w:trPr>
        <w:tc>
          <w:tcPr>
            <w:tcW w:w="48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318" w:name="page319"/>
    <w:bookmarkEnd w:id="31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White Lake Landfill, Inc.</w:t>
            </w:r>
          </w:p>
        </w:tc>
        <w:tc>
          <w:tcPr>
            <w:tcW w:w="4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Michigan</w:t>
            </w: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Willow Oak Landfill, LLC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147 Peconic, LLC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151 Peconic, LLC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9"/>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82A Old Dock, LLC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971 Waverly, LLC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Bros. Brookhaven MRF LLC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Bros. Hauling of Long Island, LLC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Bros. Recycling of Long Island, LLC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Bros. Transportation of Long Island, LLC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9"/>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Bros. Waste Systems of Long Island Holdings, LLC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Bros. Waste Systems of Long Island Intermediate Holdings, LLC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Bros. Waste Systems of Long Island, LLC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Bros. Waste Systems of NYC, LLC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Lindenhurst LLC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9"/>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Avon, Inc.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Bagco, LLC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Billerica, Inc.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Biloxi Hauling, LLC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Biloxi Transfer Station, LLC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Boston CORE, Inc.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CCP Solutions, LLC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Compactor Solutions, Inc.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Arizona</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Corporate Services, Inc.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Curbside, LLC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Dutch Holdings B.V.</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Netherlands</w:t>
            </w:r>
          </w:p>
        </w:tc>
        <w:tc>
          <w:tcPr>
            <w:tcW w:w="20" w:type="dxa"/>
            <w:vAlign w:val="bottom"/>
          </w:tcPr>
          <w:p>
            <w:pPr>
              <w:spacing w:after="0"/>
              <w:rPr>
                <w:sz w:val="12"/>
                <w:szCs w:val="12"/>
                <w:color w:val="auto"/>
              </w:rPr>
            </w:pPr>
          </w:p>
        </w:tc>
      </w:tr>
      <w:tr>
        <w:trPr>
          <w:trHeight w:val="149"/>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Emergency Employee Support Fund, Inc.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Energy Resources, Inc.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Energy Services Holdings, LLC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Energy Solutions, Inc.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European Holdings, Inc.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Green Squad, LLC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GreenOps, LLC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GTL, Inc.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Healthcare Solutions, Inc.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Illinois Renewable Energy, L.L.C.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Intellectual Property Holdings, L.L.C.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International Holdings, Inc.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LampTracker, Inc.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Landfills of Ohio, Inc.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Landfills of Tennessee, Inc.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Leasing of Arizona, L.L.C.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Leasing of Texas, L.P.</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Leasing Services of Texas, LLC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LNG, Inc.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Logistics, LLC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Middle Tennessee Environmental Center, L.L.C.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Mobile Bay Environmental Center, Inc.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National Field Services, LLC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Nevada Renewable Energy, L.L.C.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North Broward, Inc.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Organic Growth, Inc.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Organics, LLC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PA Holdings, LLC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Partnership Holdings, Inc.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Propane, LLC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Quebec Inc.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Federally Chartered</w:t>
            </w:r>
          </w:p>
        </w:tc>
        <w:tc>
          <w:tcPr>
            <w:tcW w:w="20" w:type="dxa"/>
            <w:vAlign w:val="bottom"/>
          </w:tcPr>
          <w:p>
            <w:pPr>
              <w:spacing w:after="0"/>
              <w:rPr>
                <w:sz w:val="12"/>
                <w:szCs w:val="12"/>
                <w:color w:val="auto"/>
              </w:rPr>
            </w:pPr>
          </w:p>
        </w:tc>
      </w:tr>
      <w:tr>
        <w:trPr>
          <w:trHeight w:val="149"/>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RA Canada Inc.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Ontario</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Recycle America, L.L.C.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Recycle Europe, L.L.C.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Refined Coal, LLC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Renewable Energy (Quebec) Inc.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Federally Chartered</w:t>
            </w:r>
          </w:p>
        </w:tc>
        <w:tc>
          <w:tcPr>
            <w:tcW w:w="20" w:type="dxa"/>
            <w:vAlign w:val="bottom"/>
          </w:tcPr>
          <w:p>
            <w:pPr>
              <w:spacing w:after="0"/>
              <w:rPr>
                <w:sz w:val="12"/>
                <w:szCs w:val="12"/>
                <w:color w:val="auto"/>
              </w:rPr>
            </w:pPr>
          </w:p>
        </w:tc>
      </w:tr>
      <w:tr>
        <w:trPr>
          <w:trHeight w:val="149"/>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Renewable Energy Canada Inc.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Federally Chartered</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Renewable Energy, L.L.C.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Resource Recovery &amp; Recycling Center, Inc.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Resources, Inc.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Safety Services, L.L.C.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Security Services, Inc.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Storage, Inc.</w:t>
            </w:r>
          </w:p>
        </w:tc>
        <w:tc>
          <w:tcPr>
            <w:tcW w:w="398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Transport of Indiana, LLC</w:t>
            </w:r>
          </w:p>
        </w:tc>
        <w:tc>
          <w:tcPr>
            <w:tcW w:w="39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88"/>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WM Trash Monitor Plus, L.L.C.</w:t>
            </w:r>
          </w:p>
        </w:tc>
        <w:tc>
          <w:tcPr>
            <w:tcW w:w="39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6"/>
                <w:szCs w:val="16"/>
                <w:color w:val="auto"/>
              </w:rPr>
            </w:pPr>
          </w:p>
        </w:tc>
      </w:tr>
      <w:tr>
        <w:trPr>
          <w:trHeight w:val="521"/>
        </w:trPr>
        <w:tc>
          <w:tcPr>
            <w:tcW w:w="49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319" w:name="page320"/>
    <w:bookmarkEnd w:id="31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WM Universal Solutions Private Limited</w:t>
            </w:r>
          </w:p>
        </w:tc>
        <w:tc>
          <w:tcPr>
            <w:tcW w:w="49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4"/>
                <w:szCs w:val="14"/>
                <w:color w:val="auto"/>
              </w:rPr>
              <w:t>India</w:t>
            </w:r>
          </w:p>
        </w:tc>
        <w:tc>
          <w:tcPr>
            <w:tcW w:w="20" w:type="dxa"/>
            <w:vAlign w:val="bottom"/>
          </w:tcPr>
          <w:p>
            <w:pPr>
              <w:spacing w:after="0"/>
              <w:rPr>
                <w:sz w:val="13"/>
                <w:szCs w:val="13"/>
                <w:color w:val="auto"/>
              </w:rPr>
            </w:pPr>
          </w:p>
        </w:tc>
      </w:tr>
      <w:tr>
        <w:trPr>
          <w:trHeight w:val="148"/>
        </w:trPr>
        <w:tc>
          <w:tcPr>
            <w:tcW w:w="4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Waste, Inc.</w:t>
            </w:r>
          </w:p>
        </w:tc>
        <w:tc>
          <w:tcPr>
            <w:tcW w:w="4900" w:type="dxa"/>
            <w:vAlign w:val="bottom"/>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0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WMI Mexico Holdings, Inc.</w:t>
            </w:r>
          </w:p>
        </w:tc>
        <w:tc>
          <w:tcPr>
            <w:tcW w:w="4900" w:type="dxa"/>
            <w:vAlign w:val="bottom"/>
            <w:shd w:val="clear" w:color="auto" w:fill="CCEEFF"/>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WMNA Container Recycling, L.L.C.</w:t>
            </w:r>
          </w:p>
        </w:tc>
        <w:tc>
          <w:tcPr>
            <w:tcW w:w="4900" w:type="dxa"/>
            <w:vAlign w:val="bottom"/>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0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WMRE Holdings, Inc.</w:t>
            </w:r>
          </w:p>
        </w:tc>
        <w:tc>
          <w:tcPr>
            <w:tcW w:w="4900" w:type="dxa"/>
            <w:vAlign w:val="bottom"/>
            <w:shd w:val="clear" w:color="auto" w:fill="CCEEFF"/>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WMRE of Kentucky, LLC</w:t>
            </w:r>
          </w:p>
        </w:tc>
        <w:tc>
          <w:tcPr>
            <w:tcW w:w="4900" w:type="dxa"/>
            <w:vAlign w:val="bottom"/>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0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WMRE of Michigan, LLC</w:t>
            </w:r>
          </w:p>
        </w:tc>
        <w:tc>
          <w:tcPr>
            <w:tcW w:w="4900" w:type="dxa"/>
            <w:vAlign w:val="bottom"/>
            <w:shd w:val="clear" w:color="auto" w:fill="CCEEFF"/>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WMRE of Ohio, LLC</w:t>
            </w:r>
          </w:p>
        </w:tc>
        <w:tc>
          <w:tcPr>
            <w:tcW w:w="4900" w:type="dxa"/>
            <w:vAlign w:val="bottom"/>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0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WMRE of Ohio-American, LLC</w:t>
            </w:r>
          </w:p>
        </w:tc>
        <w:tc>
          <w:tcPr>
            <w:tcW w:w="4900" w:type="dxa"/>
            <w:vAlign w:val="bottom"/>
            <w:shd w:val="clear" w:color="auto" w:fill="CCEEFF"/>
          </w:tcPr>
          <w:p>
            <w:pPr>
              <w:ind w:left="160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9"/>
        </w:trPr>
        <w:tc>
          <w:tcPr>
            <w:tcW w:w="4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WMSALSA, Inc.</w:t>
            </w:r>
          </w:p>
        </w:tc>
        <w:tc>
          <w:tcPr>
            <w:tcW w:w="4900" w:type="dxa"/>
            <w:vAlign w:val="bottom"/>
          </w:tcPr>
          <w:p>
            <w:pPr>
              <w:ind w:left="160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0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WMWC, LLC</w:t>
            </w:r>
          </w:p>
        </w:tc>
        <w:tc>
          <w:tcPr>
            <w:tcW w:w="4900" w:type="dxa"/>
            <w:vAlign w:val="bottom"/>
            <w:shd w:val="clear" w:color="auto" w:fill="CCEEFF"/>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Wolf Creek Landfill, LLC</w:t>
            </w:r>
          </w:p>
        </w:tc>
        <w:tc>
          <w:tcPr>
            <w:tcW w:w="4900" w:type="dxa"/>
            <w:vAlign w:val="bottom"/>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0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WSI Medical Waste Systems, Inc.</w:t>
            </w:r>
          </w:p>
        </w:tc>
        <w:tc>
          <w:tcPr>
            <w:tcW w:w="4900" w:type="dxa"/>
            <w:vAlign w:val="bottom"/>
            <w:shd w:val="clear" w:color="auto" w:fill="CCEEFF"/>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WSI of New York, Inc.</w:t>
            </w:r>
          </w:p>
        </w:tc>
        <w:tc>
          <w:tcPr>
            <w:tcW w:w="4900" w:type="dxa"/>
            <w:vAlign w:val="bottom"/>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0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WTI Air Pollution Control Inc.</w:t>
            </w:r>
          </w:p>
        </w:tc>
        <w:tc>
          <w:tcPr>
            <w:tcW w:w="4900" w:type="dxa"/>
            <w:vAlign w:val="bottom"/>
            <w:shd w:val="clear" w:color="auto" w:fill="CCEEFF"/>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88"/>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WTI Rust Holdings Inc.</w:t>
            </w:r>
          </w:p>
        </w:tc>
        <w:tc>
          <w:tcPr>
            <w:tcW w:w="490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6"/>
                <w:szCs w:val="16"/>
                <w:color w:val="auto"/>
              </w:rPr>
            </w:pPr>
          </w:p>
        </w:tc>
      </w:tr>
      <w:tr>
        <w:trPr>
          <w:trHeight w:val="737"/>
        </w:trPr>
        <w:tc>
          <w:tcPr>
            <w:tcW w:w="40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GUARANTOR SUBSIDIARY</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38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80" w:type="dxa"/>
            <w:vAlign w:val="bottom"/>
            <w:gridSpan w:val="2"/>
          </w:tcPr>
          <w:p>
            <w:pPr>
              <w:jc w:val="center"/>
              <w:ind w:right="12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80" w:type="dxa"/>
            <w:vAlign w:val="bottom"/>
            <w:gridSpan w:val="2"/>
            <w:vMerge w:val="continue"/>
          </w:tcPr>
          <w:p>
            <w:pPr>
              <w:spacing w:after="0"/>
              <w:rPr>
                <w:sz w:val="12"/>
                <w:szCs w:val="12"/>
                <w:color w:val="auto"/>
              </w:rPr>
            </w:pPr>
          </w:p>
        </w:tc>
        <w:tc>
          <w:tcPr>
            <w:tcW w:w="18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860" w:type="dxa"/>
            <w:vAlign w:val="bottom"/>
            <w:vMerge w:val="restart"/>
          </w:tcPr>
          <w:p>
            <w:pPr>
              <w:spacing w:after="0"/>
              <w:rPr>
                <w:sz w:val="12"/>
                <w:szCs w:val="12"/>
                <w:color w:val="auto"/>
              </w:rPr>
            </w:pPr>
          </w:p>
        </w:tc>
        <w:tc>
          <w:tcPr>
            <w:tcW w:w="18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73"/>
        </w:trPr>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88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(per annum)</w:t>
            </w:r>
          </w:p>
        </w:tc>
        <w:tc>
          <w:tcPr>
            <w:tcW w:w="88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CCEEFF"/>
            </w:tcBorders>
            <w:vMerge w:val="continue"/>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million</w:t>
            </w:r>
          </w:p>
        </w:tc>
        <w:tc>
          <w:tcPr>
            <w:tcW w:w="8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7/17/1998</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7.375%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1/21/2000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1/3/2003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600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6.125%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11/17/2009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11/30/2039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600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3.125%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3.90%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3/1/2035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4.10%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3/1/2045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11/8/2017</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11/15/2027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7/15/2049</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11/15/2025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3/15/2031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11/15/2050</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475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5/12/2021</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475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2.95%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5/12/2021</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6/1/2041</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5/12/2022</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4/15/2032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4.625%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2/15/2023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2/15/2030</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4.625%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2/15/2023</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2/15/2033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4.875%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2/15/2029</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1.250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4.875%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2/15/2034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4.950%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7/3/2024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7/3/2027</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4.950%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7/3/2024</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7/3/2031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4.500%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700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4.650%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3/15/2030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4.800%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1.5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4.950%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3/15/2035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1.25 billion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5.350%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10/15/2054</w:t>
            </w:r>
          </w:p>
        </w:tc>
        <w:tc>
          <w:tcPr>
            <w:tcW w:w="0" w:type="dxa"/>
            <w:vAlign w:val="bottom"/>
          </w:tcPr>
          <w:p>
            <w:pPr>
              <w:spacing w:after="0"/>
              <w:rPr>
                <w:sz w:val="1"/>
                <w:szCs w:val="1"/>
                <w:color w:val="auto"/>
              </w:rPr>
            </w:pPr>
          </w:p>
        </w:tc>
      </w:tr>
      <w:tr>
        <w:trPr>
          <w:trHeight w:val="234"/>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485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3.875%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11/8/2024</w:t>
            </w:r>
          </w:p>
        </w:tc>
        <w:tc>
          <w:tcPr>
            <w:tcW w:w="8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9" w:lineRule="exact"/>
        <w:rPr>
          <w:sz w:val="20"/>
          <w:szCs w:val="20"/>
          <w:color w:val="auto"/>
        </w:rPr>
      </w:pPr>
    </w:p>
    <w:p>
      <w:pPr>
        <w:ind w:left="340" w:hanging="332"/>
        <w:spacing w:after="0" w:line="282" w:lineRule="auto"/>
        <w:tabs>
          <w:tab w:leader="none" w:pos="3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Senior Notes were issued in connection with a private exchange offer but are subject to the Registration Rights Agreement filed as Exhibit 4.18 to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21" w:name="page322"/>
    <w:bookmarkEnd w:id="32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280" w:right="59" w:hanging="9"/>
        <w:spacing w:after="0" w:line="282" w:lineRule="auto"/>
        <w:tabs>
          <w:tab w:leader="none" w:pos="54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333-240211) of Waste Management, Inc. pertaining to the issuance of shares of common stock pursuant to the Waste Management, Inc. Employee Stock Purchase Plan,</w:t>
      </w:r>
    </w:p>
    <w:p>
      <w:pPr>
        <w:spacing w:after="0" w:line="161" w:lineRule="exact"/>
        <w:rPr>
          <w:rFonts w:ascii="Times New Roman" w:cs="Times New Roman" w:eastAsia="Times New Roman" w:hAnsi="Times New Roman"/>
          <w:sz w:val="18"/>
          <w:szCs w:val="18"/>
          <w:color w:val="auto"/>
        </w:rPr>
      </w:pPr>
    </w:p>
    <w:p>
      <w:pPr>
        <w:jc w:val="both"/>
        <w:ind w:left="280" w:right="59" w:hanging="9"/>
        <w:spacing w:after="0" w:line="266" w:lineRule="auto"/>
        <w:tabs>
          <w:tab w:leader="none" w:pos="587"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333-195980 and Post-Effective Amendment No. 1 thereto) of Waste Management, Inc. pertaining to the issuance of shares of common stock pursuant to the 2014 Stock Incentive Plan or the 2023 Stock Incentive Plan,</w:t>
      </w:r>
    </w:p>
    <w:p>
      <w:pPr>
        <w:spacing w:after="0" w:line="175" w:lineRule="exact"/>
        <w:rPr>
          <w:rFonts w:ascii="Times New Roman" w:cs="Times New Roman" w:eastAsia="Times New Roman" w:hAnsi="Times New Roman"/>
          <w:sz w:val="18"/>
          <w:szCs w:val="18"/>
          <w:color w:val="auto"/>
        </w:rPr>
      </w:pPr>
    </w:p>
    <w:p>
      <w:pPr>
        <w:ind w:left="280" w:right="59" w:hanging="9"/>
        <w:spacing w:after="0" w:line="282" w:lineRule="auto"/>
        <w:tabs>
          <w:tab w:leader="none" w:pos="54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333-253683) of Waste Management, Inc. pertaining to the issuance of shares of common stock pursuant to the Waste Management Retirement Savings Plan,</w:t>
      </w:r>
    </w:p>
    <w:p>
      <w:pPr>
        <w:spacing w:after="0" w:line="161" w:lineRule="exact"/>
        <w:rPr>
          <w:rFonts w:ascii="Times New Roman" w:cs="Times New Roman" w:eastAsia="Times New Roman" w:hAnsi="Times New Roman"/>
          <w:sz w:val="18"/>
          <w:szCs w:val="18"/>
          <w:color w:val="auto"/>
        </w:rPr>
      </w:pPr>
    </w:p>
    <w:p>
      <w:pPr>
        <w:ind w:left="280" w:right="59" w:hanging="9"/>
        <w:spacing w:after="0" w:line="282" w:lineRule="auto"/>
        <w:tabs>
          <w:tab w:leader="none" w:pos="59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S-4 No. 333-32805 and Post-Effective Amendment No. 1 thereto) of Waste Management, Inc., and</w:t>
      </w:r>
    </w:p>
    <w:p>
      <w:pPr>
        <w:spacing w:after="0" w:line="161" w:lineRule="exact"/>
        <w:rPr>
          <w:rFonts w:ascii="Times New Roman" w:cs="Times New Roman" w:eastAsia="Times New Roman" w:hAnsi="Times New Roman"/>
          <w:sz w:val="18"/>
          <w:szCs w:val="18"/>
          <w:color w:val="auto"/>
        </w:rPr>
      </w:pPr>
    </w:p>
    <w:p>
      <w:pPr>
        <w:ind w:left="520" w:hanging="249"/>
        <w:spacing w:after="0"/>
        <w:tabs>
          <w:tab w:leader="none" w:pos="52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Automatic Shelf Registration No. 333-264493) of Waste Management, Inc.,</w:t>
      </w:r>
    </w:p>
    <w:p>
      <w:pPr>
        <w:spacing w:after="0" w:line="22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of our reports dated February 19, 2025, with respect to the consolidated financial statements of Waste Management, Inc. and the effectiveness of internal control over financial reporting of Waste Management, Inc. included in this Annual Report (Form 10-K) of Waste Management, Inc. for the year ended December 31, 2024.</w:t>
      </w:r>
    </w:p>
    <w:p>
      <w:pPr>
        <w:spacing w:after="0" w:line="200" w:lineRule="exact"/>
        <w:rPr>
          <w:sz w:val="20"/>
          <w:szCs w:val="20"/>
          <w:color w:val="auto"/>
        </w:rPr>
      </w:pPr>
    </w:p>
    <w:p>
      <w:pPr>
        <w:spacing w:after="0" w:line="20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Houston, Texas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531495</wp:posOffset>
            </wp:positionV>
            <wp:extent cx="5657850"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22" w:name="page323"/>
    <w:bookmarkEnd w:id="32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James C. Fish, Jr., certify that:</w:t>
      </w:r>
    </w:p>
    <w:p>
      <w:pPr>
        <w:spacing w:after="0" w:line="185" w:lineRule="exact"/>
        <w:rPr>
          <w:sz w:val="20"/>
          <w:szCs w:val="20"/>
          <w:color w:val="auto"/>
        </w:rPr>
      </w:pPr>
    </w:p>
    <w:p>
      <w:pPr>
        <w:ind w:left="760" w:hanging="269"/>
        <w:spacing w:after="0"/>
        <w:tabs>
          <w:tab w:leader="none" w:pos="7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Waste Management, Inc.;</w:t>
      </w:r>
    </w:p>
    <w:p>
      <w:pPr>
        <w:spacing w:after="0" w:line="184"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5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69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21"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35" w:lineRule="exact"/>
        <w:rPr>
          <w:sz w:val="20"/>
          <w:szCs w:val="20"/>
          <w:color w:val="auto"/>
        </w:rPr>
      </w:pPr>
    </w:p>
    <w:p>
      <w:pPr>
        <w:jc w:val="both"/>
        <w:ind w:left="500" w:right="59" w:firstLine="441"/>
        <w:spacing w:after="0" w:line="261"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sz w:val="20"/>
          <w:szCs w:val="20"/>
          <w:color w:val="auto"/>
        </w:rPr>
      </w:pPr>
    </w:p>
    <w:p>
      <w:pPr>
        <w:jc w:val="both"/>
        <w:ind w:left="500" w:right="59" w:firstLine="441"/>
        <w:spacing w:after="0" w:line="261" w:lineRule="auto"/>
        <w:rPr>
          <w:sz w:val="20"/>
          <w:szCs w:val="20"/>
          <w:color w:val="auto"/>
        </w:rPr>
      </w:pPr>
      <w:r>
        <w:rPr>
          <w:rFonts w:ascii="Times New Roman" w:cs="Times New Roman" w:eastAsia="Times New Roman" w:hAnsi="Times New Roman"/>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sz w:val="20"/>
          <w:szCs w:val="20"/>
          <w:color w:val="auto"/>
        </w:rPr>
      </w:pPr>
    </w:p>
    <w:p>
      <w:pPr>
        <w:jc w:val="both"/>
        <w:ind w:left="500" w:right="59" w:firstLine="441"/>
        <w:spacing w:after="0" w:line="266" w:lineRule="auto"/>
        <w:rPr>
          <w:sz w:val="20"/>
          <w:szCs w:val="20"/>
          <w:color w:val="auto"/>
        </w:rPr>
      </w:pPr>
      <w:r>
        <w:rPr>
          <w:rFonts w:ascii="Times New Roman" w:cs="Times New Roman" w:eastAsia="Times New Roman" w:hAnsi="Times New Roman"/>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sz w:val="20"/>
          <w:szCs w:val="20"/>
          <w:color w:val="auto"/>
        </w:rPr>
      </w:pPr>
    </w:p>
    <w:p>
      <w:pPr>
        <w:jc w:val="both"/>
        <w:ind w:left="500" w:right="59" w:firstLine="441"/>
        <w:spacing w:after="0" w:line="261" w:lineRule="auto"/>
        <w:rPr>
          <w:sz w:val="20"/>
          <w:szCs w:val="20"/>
          <w:color w:val="auto"/>
        </w:rPr>
      </w:pPr>
      <w:r>
        <w:rPr>
          <w:rFonts w:ascii="Times New Roman" w:cs="Times New Roman" w:eastAsia="Times New Roman" w:hAnsi="Times New Roman"/>
          <w:sz w:val="18"/>
          <w:szCs w:val="18"/>
          <w:color w:val="auto"/>
        </w:rPr>
        <w:t>(d). 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3" w:lineRule="exact"/>
        <w:rPr>
          <w:sz w:val="20"/>
          <w:szCs w:val="20"/>
          <w:color w:val="auto"/>
        </w:rPr>
      </w:pPr>
    </w:p>
    <w:p>
      <w:pPr>
        <w:jc w:val="both"/>
        <w:ind w:left="60" w:right="79" w:firstLine="431"/>
        <w:spacing w:after="0" w:line="266" w:lineRule="auto"/>
        <w:tabs>
          <w:tab w:leader="none" w:pos="751"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5" w:lineRule="exact"/>
        <w:rPr>
          <w:sz w:val="20"/>
          <w:szCs w:val="20"/>
          <w:color w:val="auto"/>
        </w:rPr>
      </w:pPr>
    </w:p>
    <w:p>
      <w:pPr>
        <w:jc w:val="both"/>
        <w:ind w:left="500" w:right="59" w:firstLine="441"/>
        <w:spacing w:after="0" w:line="266" w:lineRule="auto"/>
        <w:rPr>
          <w:sz w:val="20"/>
          <w:szCs w:val="20"/>
          <w:color w:val="auto"/>
        </w:rPr>
      </w:pPr>
      <w:r>
        <w:rPr>
          <w:rFonts w:ascii="Times New Roman" w:cs="Times New Roman" w:eastAsia="Times New Roman" w:hAnsi="Times New Roman"/>
          <w:sz w:val="18"/>
          <w:szCs w:val="18"/>
          <w:color w:val="auto"/>
        </w:rPr>
        <w:t>(a). 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35" w:lineRule="exact"/>
        <w:rPr>
          <w:sz w:val="20"/>
          <w:szCs w:val="20"/>
          <w:color w:val="auto"/>
        </w:rPr>
      </w:pPr>
    </w:p>
    <w:p>
      <w:pPr>
        <w:jc w:val="both"/>
        <w:ind w:left="500" w:right="59" w:firstLine="441"/>
        <w:spacing w:after="0" w:line="282" w:lineRule="auto"/>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360" w:type="dxa"/>
            <w:vAlign w:val="bottom"/>
          </w:tcPr>
          <w:p>
            <w:pPr>
              <w:spacing w:after="0"/>
              <w:rPr>
                <w:sz w:val="16"/>
                <w:szCs w:val="16"/>
                <w:color w:val="auto"/>
              </w:rPr>
            </w:pPr>
          </w:p>
        </w:tc>
        <w:tc>
          <w:tcPr>
            <w:tcW w:w="4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6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323" w:name="page324"/>
    <w:bookmarkEnd w:id="32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Devina A. Rankin, certify that:</w:t>
      </w:r>
    </w:p>
    <w:p>
      <w:pPr>
        <w:spacing w:after="0" w:line="185" w:lineRule="exact"/>
        <w:rPr>
          <w:sz w:val="20"/>
          <w:szCs w:val="20"/>
          <w:color w:val="auto"/>
        </w:rPr>
      </w:pPr>
    </w:p>
    <w:p>
      <w:pPr>
        <w:ind w:left="760" w:hanging="269"/>
        <w:spacing w:after="0"/>
        <w:tabs>
          <w:tab w:leader="none" w:pos="7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Waste Management, Inc.;</w:t>
      </w:r>
    </w:p>
    <w:p>
      <w:pPr>
        <w:spacing w:after="0" w:line="184"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5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69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21"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35" w:lineRule="exact"/>
        <w:rPr>
          <w:sz w:val="20"/>
          <w:szCs w:val="20"/>
          <w:color w:val="auto"/>
        </w:rPr>
      </w:pPr>
    </w:p>
    <w:p>
      <w:pPr>
        <w:jc w:val="both"/>
        <w:ind w:left="500" w:right="59" w:firstLine="441"/>
        <w:spacing w:after="0" w:line="261"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sz w:val="20"/>
          <w:szCs w:val="20"/>
          <w:color w:val="auto"/>
        </w:rPr>
      </w:pPr>
    </w:p>
    <w:p>
      <w:pPr>
        <w:jc w:val="both"/>
        <w:ind w:left="500" w:right="59" w:firstLine="441"/>
        <w:spacing w:after="0" w:line="261" w:lineRule="auto"/>
        <w:rPr>
          <w:sz w:val="20"/>
          <w:szCs w:val="20"/>
          <w:color w:val="auto"/>
        </w:rPr>
      </w:pPr>
      <w:r>
        <w:rPr>
          <w:rFonts w:ascii="Times New Roman" w:cs="Times New Roman" w:eastAsia="Times New Roman" w:hAnsi="Times New Roman"/>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sz w:val="20"/>
          <w:szCs w:val="20"/>
          <w:color w:val="auto"/>
        </w:rPr>
      </w:pPr>
    </w:p>
    <w:p>
      <w:pPr>
        <w:jc w:val="both"/>
        <w:ind w:left="500" w:right="59" w:firstLine="441"/>
        <w:spacing w:after="0" w:line="266" w:lineRule="auto"/>
        <w:rPr>
          <w:sz w:val="20"/>
          <w:szCs w:val="20"/>
          <w:color w:val="auto"/>
        </w:rPr>
      </w:pPr>
      <w:r>
        <w:rPr>
          <w:rFonts w:ascii="Times New Roman" w:cs="Times New Roman" w:eastAsia="Times New Roman" w:hAnsi="Times New Roman"/>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sz w:val="20"/>
          <w:szCs w:val="20"/>
          <w:color w:val="auto"/>
        </w:rPr>
      </w:pPr>
    </w:p>
    <w:p>
      <w:pPr>
        <w:jc w:val="both"/>
        <w:ind w:left="500" w:right="59" w:firstLine="441"/>
        <w:spacing w:after="0" w:line="261" w:lineRule="auto"/>
        <w:rPr>
          <w:sz w:val="20"/>
          <w:szCs w:val="20"/>
          <w:color w:val="auto"/>
        </w:rPr>
      </w:pPr>
      <w:r>
        <w:rPr>
          <w:rFonts w:ascii="Times New Roman" w:cs="Times New Roman" w:eastAsia="Times New Roman" w:hAnsi="Times New Roman"/>
          <w:sz w:val="18"/>
          <w:szCs w:val="18"/>
          <w:color w:val="auto"/>
        </w:rPr>
        <w:t>(d). 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3" w:lineRule="exact"/>
        <w:rPr>
          <w:sz w:val="20"/>
          <w:szCs w:val="20"/>
          <w:color w:val="auto"/>
        </w:rPr>
      </w:pPr>
    </w:p>
    <w:p>
      <w:pPr>
        <w:jc w:val="both"/>
        <w:ind w:left="60" w:right="79" w:firstLine="431"/>
        <w:spacing w:after="0" w:line="266" w:lineRule="auto"/>
        <w:tabs>
          <w:tab w:leader="none" w:pos="751"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5" w:lineRule="exact"/>
        <w:rPr>
          <w:sz w:val="20"/>
          <w:szCs w:val="20"/>
          <w:color w:val="auto"/>
        </w:rPr>
      </w:pPr>
    </w:p>
    <w:p>
      <w:pPr>
        <w:jc w:val="both"/>
        <w:ind w:left="500" w:right="59" w:firstLine="441"/>
        <w:spacing w:after="0" w:line="266" w:lineRule="auto"/>
        <w:rPr>
          <w:sz w:val="20"/>
          <w:szCs w:val="20"/>
          <w:color w:val="auto"/>
        </w:rPr>
      </w:pPr>
      <w:r>
        <w:rPr>
          <w:rFonts w:ascii="Times New Roman" w:cs="Times New Roman" w:eastAsia="Times New Roman" w:hAnsi="Times New Roman"/>
          <w:sz w:val="18"/>
          <w:szCs w:val="18"/>
          <w:color w:val="auto"/>
        </w:rPr>
        <w:t>(a). 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35" w:lineRule="exact"/>
        <w:rPr>
          <w:sz w:val="20"/>
          <w:szCs w:val="20"/>
          <w:color w:val="auto"/>
        </w:rPr>
      </w:pPr>
    </w:p>
    <w:p>
      <w:pPr>
        <w:jc w:val="both"/>
        <w:ind w:left="500" w:right="59" w:firstLine="441"/>
        <w:spacing w:after="0" w:line="282" w:lineRule="auto"/>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DEVINA A. RANKIN</w:t>
            </w:r>
          </w:p>
        </w:tc>
      </w:tr>
      <w:tr>
        <w:trPr>
          <w:trHeight w:val="189"/>
        </w:trPr>
        <w:tc>
          <w:tcPr>
            <w:tcW w:w="380" w:type="dxa"/>
            <w:vAlign w:val="bottom"/>
          </w:tcPr>
          <w:p>
            <w:pPr>
              <w:spacing w:after="0"/>
              <w:rPr>
                <w:sz w:val="16"/>
                <w:szCs w:val="16"/>
                <w:color w:val="auto"/>
              </w:rPr>
            </w:pPr>
          </w:p>
        </w:tc>
        <w:tc>
          <w:tcPr>
            <w:tcW w:w="4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16"/>
        </w:trPr>
        <w:tc>
          <w:tcPr>
            <w:tcW w:w="38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w:t>
            </w:r>
          </w:p>
        </w:tc>
      </w:tr>
      <w:tr>
        <w:trPr>
          <w:trHeight w:val="236"/>
        </w:trPr>
        <w:tc>
          <w:tcPr>
            <w:tcW w:w="38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24" w:name="page325"/>
    <w:bookmarkEnd w:id="32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Waste Management, Inc. (the “Company”) on Form 10-K for the period ended December 31, 2024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0" w:lineRule="exact"/>
        <w:rPr>
          <w:sz w:val="20"/>
          <w:szCs w:val="20"/>
          <w:color w:val="auto"/>
        </w:rPr>
      </w:pPr>
    </w:p>
    <w:p>
      <w:pPr>
        <w:ind w:left="500" w:right="59" w:firstLine="431"/>
        <w:spacing w:after="0" w:line="282" w:lineRule="auto"/>
        <w:tabs>
          <w:tab w:leader="none" w:pos="120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right="79" w:firstLine="431"/>
        <w:spacing w:after="0" w:line="282" w:lineRule="auto"/>
        <w:tabs>
          <w:tab w:leader="none" w:pos="1197"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340" w:type="dxa"/>
            <w:vAlign w:val="bottom"/>
          </w:tcPr>
          <w:p>
            <w:pPr>
              <w:spacing w:after="0"/>
              <w:rPr>
                <w:sz w:val="16"/>
                <w:szCs w:val="16"/>
                <w:color w:val="auto"/>
              </w:rPr>
            </w:pPr>
          </w:p>
        </w:tc>
        <w:tc>
          <w:tcPr>
            <w:tcW w:w="4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325" w:name="page326"/>
    <w:bookmarkEnd w:id="32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Waste Management, Inc. (the “Company”) on Form 10-K for the period ended December 31, 2024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0" w:lineRule="exact"/>
        <w:rPr>
          <w:sz w:val="20"/>
          <w:szCs w:val="20"/>
          <w:color w:val="auto"/>
        </w:rPr>
      </w:pPr>
    </w:p>
    <w:p>
      <w:pPr>
        <w:ind w:left="500" w:right="59" w:firstLine="431"/>
        <w:spacing w:after="0" w:line="282" w:lineRule="auto"/>
        <w:tabs>
          <w:tab w:leader="none" w:pos="120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right="79" w:firstLine="431"/>
        <w:spacing w:after="0" w:line="282" w:lineRule="auto"/>
        <w:tabs>
          <w:tab w:leader="none" w:pos="1197"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DEVINA A. RANKIN</w:t>
            </w:r>
          </w:p>
        </w:tc>
      </w:tr>
      <w:tr>
        <w:trPr>
          <w:trHeight w:val="189"/>
        </w:trPr>
        <w:tc>
          <w:tcPr>
            <w:tcW w:w="300" w:type="dxa"/>
            <w:vAlign w:val="bottom"/>
          </w:tcPr>
          <w:p>
            <w:pPr>
              <w:spacing w:after="0"/>
              <w:rPr>
                <w:sz w:val="16"/>
                <w:szCs w:val="16"/>
                <w:color w:val="auto"/>
              </w:rPr>
            </w:pPr>
          </w:p>
        </w:tc>
        <w:tc>
          <w:tcPr>
            <w:tcW w:w="4140" w:type="dxa"/>
            <w:vAlign w:val="bottom"/>
          </w:tcPr>
          <w:p>
            <w:pPr>
              <w:ind w:left="1480"/>
              <w:spacing w:after="0" w:line="189" w:lineRule="exact"/>
              <w:rPr>
                <w:sz w:val="20"/>
                <w:szCs w:val="20"/>
                <w:color w:val="auto"/>
              </w:rPr>
            </w:pPr>
            <w:r>
              <w:rPr>
                <w:rFonts w:ascii="Times New Roman" w:cs="Times New Roman" w:eastAsia="Times New Roman" w:hAnsi="Times New Roman"/>
                <w:sz w:val="18"/>
                <w:szCs w:val="18"/>
                <w:color w:val="auto"/>
              </w:rPr>
              <w:t>Devina A. Rankin</w:t>
            </w:r>
          </w:p>
        </w:tc>
      </w:tr>
      <w:tr>
        <w:trPr>
          <w:trHeight w:val="216"/>
        </w:trPr>
        <w:tc>
          <w:tcPr>
            <w:tcW w:w="30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w:t>
            </w:r>
          </w:p>
        </w:tc>
      </w:tr>
      <w:tr>
        <w:trPr>
          <w:trHeight w:val="236"/>
        </w:trPr>
        <w:tc>
          <w:tcPr>
            <w:tcW w:w="30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26" w:name="page327"/>
    <w:bookmarkEnd w:id="32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or (e) an imminent danger order under section 107(a) of the Mine Safety Act. During the quarter ended March 31, 2024, CGS Services, Inc., an indirect wholly-owned subsidiary of Waste Management, Inc., was assessed penalties totaling $441 by the MSHA in connection with its Caldwell PT &amp; ML mine in Indiana.</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addition, during the year ended December 31, 2024,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334010</wp:posOffset>
            </wp:positionV>
            <wp:extent cx="5657850"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D2F10E"/>
    <w:multiLevelType w:val="hybridMultilevel"/>
    <w:lvl w:ilvl="0">
      <w:lvlJc w:val="left"/>
      <w:lvlText w:val="☑"/>
      <w:numFmt w:val="bullet"/>
      <w:start w:val="1"/>
    </w:lvl>
  </w:abstractNum>
  <w:abstractNum w:abstractNumId="1">
    <w:nsid w:val="BFFAE18"/>
    <w:multiLevelType w:val="hybridMultilevel"/>
    <w:lvl w:ilvl="0">
      <w:lvlJc w:val="left"/>
      <w:lvlText w:val="☐"/>
      <w:numFmt w:val="bullet"/>
      <w:start w:val="1"/>
    </w:lvl>
  </w:abstractNum>
  <w:abstractNum w:abstractNumId="2">
    <w:nsid w:val="E3E47A8"/>
    <w:multiLevelType w:val="hybridMultilevel"/>
    <w:lvl w:ilvl="0">
      <w:lvlJc w:val="left"/>
      <w:lvlText w:val="●"/>
      <w:numFmt w:val="bullet"/>
      <w:start w:val="1"/>
    </w:lvl>
  </w:abstractNum>
  <w:abstractNum w:abstractNumId="3">
    <w:nsid w:val="2E48F044"/>
    <w:multiLevelType w:val="hybridMultilevel"/>
    <w:lvl w:ilvl="0">
      <w:lvlJc w:val="left"/>
      <w:lvlText w:val="●"/>
      <w:numFmt w:val="bullet"/>
      <w:start w:val="1"/>
    </w:lvl>
  </w:abstractNum>
  <w:abstractNum w:abstractNumId="4">
    <w:nsid w:val="49D0FEAC"/>
    <w:multiLevelType w:val="hybridMultilevel"/>
    <w:lvl w:ilvl="0">
      <w:lvlJc w:val="left"/>
      <w:lvlText w:val="●"/>
      <w:numFmt w:val="bullet"/>
      <w:start w:val="1"/>
    </w:lvl>
  </w:abstractNum>
  <w:abstractNum w:abstractNumId="5">
    <w:nsid w:val="4BEE5A5B"/>
    <w:multiLevelType w:val="hybridMultilevel"/>
    <w:lvl w:ilvl="0">
      <w:lvlJc w:val="left"/>
      <w:lvlText w:val="●"/>
      <w:numFmt w:val="bullet"/>
      <w:start w:val="1"/>
    </w:lvl>
  </w:abstractNum>
  <w:abstractNum w:abstractNumId="6">
    <w:nsid w:val="5551B9F3"/>
    <w:multiLevelType w:val="hybridMultilevel"/>
    <w:lvl w:ilvl="0">
      <w:lvlJc w:val="left"/>
      <w:lvlText w:val="●"/>
      <w:numFmt w:val="bullet"/>
      <w:start w:val="1"/>
    </w:lvl>
  </w:abstractNum>
  <w:abstractNum w:abstractNumId="7">
    <w:nsid w:val="24F6AB8E"/>
    <w:multiLevelType w:val="hybridMultilevel"/>
    <w:lvl w:ilvl="0">
      <w:lvlJc w:val="left"/>
      <w:lvlText w:val="●"/>
      <w:numFmt w:val="bullet"/>
      <w:start w:val="1"/>
    </w:lvl>
  </w:abstractNum>
  <w:abstractNum w:abstractNumId="8">
    <w:nsid w:val="634C574C"/>
    <w:multiLevelType w:val="hybridMultilevel"/>
    <w:lvl w:ilvl="0">
      <w:lvlJc w:val="left"/>
      <w:lvlText w:val="●"/>
      <w:numFmt w:val="bullet"/>
      <w:start w:val="1"/>
    </w:lvl>
  </w:abstractNum>
  <w:abstractNum w:abstractNumId="9">
    <w:nsid w:val="24E99DD7"/>
    <w:multiLevelType w:val="hybridMultilevel"/>
    <w:lvl w:ilvl="0">
      <w:lvlJc w:val="left"/>
      <w:lvlText w:val="●"/>
      <w:numFmt w:val="bullet"/>
      <w:start w:val="1"/>
    </w:lvl>
  </w:abstractNum>
  <w:abstractNum w:abstractNumId="10">
    <w:nsid w:val="2A31B62D"/>
    <w:multiLevelType w:val="hybridMultilevel"/>
    <w:lvl w:ilvl="0">
      <w:lvlJc w:val="left"/>
      <w:lvlText w:val="(%1)"/>
      <w:numFmt w:val="lowerRoman"/>
      <w:start w:val="2"/>
    </w:lvl>
  </w:abstractNum>
  <w:abstractNum w:abstractNumId="11">
    <w:nsid w:val="1849C29B"/>
    <w:multiLevelType w:val="hybridMultilevel"/>
    <w:lvl w:ilvl="0">
      <w:lvlJc w:val="left"/>
      <w:lvlText w:val="●"/>
      <w:numFmt w:val="bullet"/>
      <w:start w:val="1"/>
    </w:lvl>
  </w:abstractNum>
  <w:abstractNum w:abstractNumId="12">
    <w:nsid w:val="7DFF9D09"/>
    <w:multiLevelType w:val="hybridMultilevel"/>
    <w:lvl w:ilvl="0">
      <w:lvlJc w:val="left"/>
      <w:lvlText w:val="(%1)"/>
      <w:numFmt w:val="lowerRoman"/>
      <w:start w:val="1"/>
    </w:lvl>
  </w:abstractNum>
  <w:abstractNum w:abstractNumId="13">
    <w:nsid w:val="754342"/>
    <w:multiLevelType w:val="hybridMultilevel"/>
    <w:lvl w:ilvl="0">
      <w:lvlJc w:val="left"/>
      <w:lvlText w:val="(%1)"/>
      <w:numFmt w:val="lowerRoman"/>
      <w:start w:val="3"/>
    </w:lvl>
  </w:abstractNum>
  <w:abstractNum w:abstractNumId="14">
    <w:nsid w:val="69E7F3E5"/>
    <w:multiLevelType w:val="hybridMultilevel"/>
    <w:lvl w:ilvl="0">
      <w:lvlJc w:val="left"/>
      <w:lvlText w:val="(%1)"/>
      <w:numFmt w:val="lowerRoman"/>
      <w:start w:val="3"/>
    </w:lvl>
  </w:abstractNum>
  <w:abstractNum w:abstractNumId="15">
    <w:nsid w:val="2A6DE806"/>
    <w:multiLevelType w:val="hybridMultilevel"/>
    <w:lvl w:ilvl="0">
      <w:lvlJc w:val="left"/>
      <w:lvlText w:val="●"/>
      <w:numFmt w:val="bullet"/>
      <w:start w:val="1"/>
    </w:lvl>
  </w:abstractNum>
  <w:abstractNum w:abstractNumId="16">
    <w:nsid w:val="1816F8C4"/>
    <w:multiLevelType w:val="hybridMultilevel"/>
    <w:lvl w:ilvl="0">
      <w:lvlJc w:val="left"/>
      <w:lvlText w:val="●"/>
      <w:numFmt w:val="bullet"/>
      <w:start w:val="1"/>
    </w:lvl>
  </w:abstractNum>
  <w:abstractNum w:abstractNumId="17">
    <w:nsid w:val="37DF2233"/>
    <w:multiLevelType w:val="hybridMultilevel"/>
    <w:lvl w:ilvl="0">
      <w:lvlJc w:val="left"/>
      <w:lvlText w:val="(%1)"/>
      <w:numFmt w:val="lowerRoman"/>
      <w:start w:val="1"/>
    </w:lvl>
  </w:abstractNum>
  <w:abstractNum w:abstractNumId="18">
    <w:nsid w:val="7AB49DAF"/>
    <w:multiLevelType w:val="hybridMultilevel"/>
    <w:lvl w:ilvl="0">
      <w:lvlJc w:val="left"/>
      <w:lvlText w:val="●"/>
      <w:numFmt w:val="bullet"/>
      <w:start w:val="1"/>
    </w:lvl>
  </w:abstractNum>
  <w:abstractNum w:abstractNumId="19">
    <w:nsid w:val="759F82CD"/>
    <w:multiLevelType w:val="hybridMultilevel"/>
    <w:lvl w:ilvl="0">
      <w:lvlJc w:val="left"/>
      <w:lvlText w:val="●"/>
      <w:numFmt w:val="bullet"/>
      <w:start w:val="1"/>
    </w:lvl>
  </w:abstractNum>
  <w:abstractNum w:abstractNumId="20">
    <w:nsid w:val="61E74EA3"/>
    <w:multiLevelType w:val="hybridMultilevel"/>
    <w:lvl w:ilvl="0">
      <w:lvlJc w:val="left"/>
      <w:lvlText w:val="●"/>
      <w:numFmt w:val="bullet"/>
      <w:start w:val="1"/>
    </w:lvl>
  </w:abstractNum>
  <w:abstractNum w:abstractNumId="21">
    <w:nsid w:val="597B4D84"/>
    <w:multiLevelType w:val="hybridMultilevel"/>
    <w:lvl w:ilvl="0">
      <w:lvlJc w:val="left"/>
      <w:lvlText w:val="●"/>
      <w:numFmt w:val="bullet"/>
      <w:start w:val="1"/>
    </w:lvl>
  </w:abstractNum>
  <w:abstractNum w:abstractNumId="22">
    <w:nsid w:val="F819E7F"/>
    <w:multiLevelType w:val="hybridMultilevel"/>
    <w:lvl w:ilvl="0">
      <w:lvlJc w:val="left"/>
      <w:lvlText w:val="(%1)"/>
      <w:numFmt w:val="lowerLetter"/>
      <w:start w:val="1"/>
    </w:lvl>
  </w:abstractNum>
  <w:abstractNum w:abstractNumId="23">
    <w:nsid w:val="57C7D42D"/>
    <w:multiLevelType w:val="hybridMultilevel"/>
    <w:lvl w:ilvl="0">
      <w:lvlJc w:val="left"/>
      <w:lvlText w:val="●"/>
      <w:numFmt w:val="bullet"/>
      <w:start w:val="1"/>
    </w:lvl>
    <w:lvl w:ilvl="1">
      <w:lvlJc w:val="left"/>
      <w:lvlText w:val="(%2)"/>
      <w:numFmt w:val="lowerRoman"/>
      <w:start w:val="2"/>
    </w:lvl>
  </w:abstractNum>
  <w:abstractNum w:abstractNumId="24">
    <w:nsid w:val="312167AD"/>
    <w:multiLevelType w:val="hybridMultilevel"/>
    <w:lvl w:ilvl="0">
      <w:lvlJc w:val="left"/>
      <w:lvlText w:val="●"/>
      <w:numFmt w:val="bullet"/>
      <w:start w:val="1"/>
    </w:lvl>
    <w:lvl w:ilvl="1">
      <w:lvlJc w:val="left"/>
      <w:lvlText w:val="(%2)"/>
      <w:numFmt w:val="lowerRoman"/>
      <w:start w:val="3"/>
    </w:lvl>
  </w:abstractNum>
  <w:abstractNum w:abstractNumId="25">
    <w:nsid w:val="631B64D4"/>
    <w:multiLevelType w:val="hybridMultilevel"/>
    <w:lvl w:ilvl="0">
      <w:lvlJc w:val="left"/>
      <w:lvlText w:val="(%1)"/>
      <w:numFmt w:val="lowerLetter"/>
      <w:start w:val="1"/>
    </w:lvl>
  </w:abstractNum>
  <w:abstractNum w:abstractNumId="26">
    <w:nsid w:val="78B5E776"/>
    <w:multiLevelType w:val="hybridMultilevel"/>
    <w:lvl w:ilvl="0">
      <w:lvlJc w:val="left"/>
      <w:lvlText w:val="(%1)"/>
      <w:numFmt w:val="lowerLetter"/>
      <w:start w:val="1"/>
    </w:lvl>
  </w:abstractNum>
  <w:abstractNum w:abstractNumId="27">
    <w:nsid w:val="75486E47"/>
    <w:multiLevelType w:val="hybridMultilevel"/>
    <w:lvl w:ilvl="0">
      <w:lvlJc w:val="left"/>
      <w:lvlText w:val="(%1)"/>
      <w:numFmt w:val="lowerRoman"/>
      <w:start w:val="1"/>
    </w:lvl>
  </w:abstractNum>
  <w:abstractNum w:abstractNumId="28">
    <w:nsid w:val="6E534CDE"/>
    <w:multiLevelType w:val="hybridMultilevel"/>
    <w:lvl w:ilvl="0">
      <w:lvlJc w:val="left"/>
      <w:lvlText w:val="(%1)"/>
      <w:numFmt w:val="lowerRoman"/>
      <w:start w:val="8"/>
    </w:lvl>
  </w:abstractNum>
  <w:abstractNum w:abstractNumId="29">
    <w:nsid w:val="1A0DDE32"/>
    <w:multiLevelType w:val="hybridMultilevel"/>
    <w:lvl w:ilvl="0">
      <w:lvlJc w:val="left"/>
      <w:lvlText w:val="(%1)"/>
      <w:numFmt w:val="lowerRoman"/>
      <w:start w:val="1"/>
    </w:lvl>
  </w:abstractNum>
  <w:abstractNum w:abstractNumId="30">
    <w:nsid w:val="65968C1C"/>
    <w:multiLevelType w:val="hybridMultilevel"/>
    <w:lvl w:ilvl="0">
      <w:lvlJc w:val="left"/>
      <w:lvlText w:val="(%1)"/>
      <w:numFmt w:val="lowerRoman"/>
      <w:start w:val="2"/>
    </w:lvl>
  </w:abstractNum>
  <w:abstractNum w:abstractNumId="31">
    <w:nsid w:val="46263DEC"/>
    <w:multiLevelType w:val="hybridMultilevel"/>
    <w:lvl w:ilvl="0">
      <w:lvlJc w:val="left"/>
      <w:lvlText w:val="(%1)"/>
      <w:numFmt w:val="lowerRoman"/>
      <w:start w:val="4"/>
    </w:lvl>
  </w:abstractNum>
  <w:abstractNum w:abstractNumId="32">
    <w:nsid w:val="260D8C4A"/>
    <w:multiLevelType w:val="hybridMultilevel"/>
    <w:lvl w:ilvl="0">
      <w:lvlJc w:val="left"/>
      <w:lvlText w:val="●"/>
      <w:numFmt w:val="bullet"/>
      <w:start w:val="1"/>
    </w:lvl>
  </w:abstractNum>
  <w:abstractNum w:abstractNumId="33">
    <w:nsid w:val="73D4D3C4"/>
    <w:multiLevelType w:val="hybridMultilevel"/>
    <w:lvl w:ilvl="0">
      <w:lvlJc w:val="left"/>
      <w:lvlText w:val="●"/>
      <w:numFmt w:val="bullet"/>
      <w:start w:val="1"/>
    </w:lvl>
  </w:abstractNum>
  <w:abstractNum w:abstractNumId="34">
    <w:nsid w:val="746F2E30"/>
    <w:multiLevelType w:val="hybridMultilevel"/>
    <w:lvl w:ilvl="0">
      <w:lvlJc w:val="left"/>
      <w:lvlText w:val="(%1)"/>
      <w:numFmt w:val="lowerLetter"/>
      <w:start w:val="1"/>
    </w:lvl>
  </w:abstractNum>
  <w:abstractNum w:abstractNumId="35">
    <w:nsid w:val="6FDE8AF6"/>
    <w:multiLevelType w:val="hybridMultilevel"/>
    <w:lvl w:ilvl="0">
      <w:lvlJc w:val="left"/>
      <w:lvlText w:val="(%1)"/>
      <w:numFmt w:val="lowerLetter"/>
      <w:start w:val="1"/>
    </w:lvl>
  </w:abstractNum>
  <w:abstractNum w:abstractNumId="36">
    <w:nsid w:val="3FC32E20"/>
    <w:multiLevelType w:val="hybridMultilevel"/>
    <w:lvl w:ilvl="0">
      <w:lvlJc w:val="left"/>
      <w:lvlText w:val="(%1)"/>
      <w:numFmt w:val="lowerLetter"/>
      <w:start w:val="1"/>
    </w:lvl>
  </w:abstractNum>
  <w:abstractNum w:abstractNumId="37">
    <w:nsid w:val="49C0E823"/>
    <w:multiLevelType w:val="hybridMultilevel"/>
    <w:lvl w:ilvl="0">
      <w:lvlJc w:val="left"/>
      <w:lvlText w:val="●"/>
      <w:numFmt w:val="bullet"/>
      <w:start w:val="1"/>
    </w:lvl>
  </w:abstractNum>
  <w:abstractNum w:abstractNumId="38">
    <w:nsid w:val="14D53685"/>
    <w:multiLevelType w:val="hybridMultilevel"/>
    <w:lvl w:ilvl="0">
      <w:lvlJc w:val="left"/>
      <w:lvlText w:val="(%1)"/>
      <w:numFmt w:val="lowerRoman"/>
      <w:start w:val="2"/>
    </w:lvl>
  </w:abstractNum>
  <w:abstractNum w:abstractNumId="39">
    <w:nsid w:val="230F856C"/>
    <w:multiLevelType w:val="hybridMultilevel"/>
    <w:lvl w:ilvl="0">
      <w:lvlJc w:val="left"/>
      <w:lvlText w:val="(%1)"/>
      <w:numFmt w:val="lowerLetter"/>
      <w:start w:val="1"/>
    </w:lvl>
  </w:abstractNum>
  <w:abstractNum w:abstractNumId="40">
    <w:nsid w:val="6EAA85FB"/>
    <w:multiLevelType w:val="hybridMultilevel"/>
    <w:lvl w:ilvl="0">
      <w:lvlJc w:val="left"/>
      <w:lvlText w:val="(%1)"/>
      <w:numFmt w:val="lowerLetter"/>
      <w:start w:val="4"/>
    </w:lvl>
  </w:abstractNum>
  <w:abstractNum w:abstractNumId="41">
    <w:nsid w:val="3F06ECB2"/>
    <w:multiLevelType w:val="hybridMultilevel"/>
    <w:lvl w:ilvl="0">
      <w:lvlJc w:val="left"/>
      <w:lvlText w:val="(%1)"/>
      <w:numFmt w:val="lowerLetter"/>
      <w:start w:val="1"/>
    </w:lvl>
  </w:abstractNum>
  <w:abstractNum w:abstractNumId="42">
    <w:nsid w:val="3B594807"/>
    <w:multiLevelType w:val="hybridMultilevel"/>
    <w:lvl w:ilvl="0">
      <w:lvlJc w:val="left"/>
      <w:lvlText w:val="(%1)"/>
      <w:numFmt w:val="lowerLetter"/>
      <w:start w:val="1"/>
    </w:lvl>
  </w:abstractNum>
  <w:abstractNum w:abstractNumId="43">
    <w:nsid w:val="6CAA2304"/>
    <w:multiLevelType w:val="hybridMultilevel"/>
    <w:lvl w:ilvl="0">
      <w:lvlJc w:val="left"/>
      <w:lvlText w:val="●"/>
      <w:numFmt w:val="bullet"/>
      <w:start w:val="1"/>
    </w:lvl>
  </w:abstractNum>
  <w:abstractNum w:abstractNumId="44">
    <w:nsid w:val="3F7C2FF4"/>
    <w:multiLevelType w:val="hybridMultilevel"/>
    <w:lvl w:ilvl="0">
      <w:lvlJc w:val="left"/>
      <w:lvlText w:val="●"/>
      <w:numFmt w:val="bullet"/>
      <w:start w:val="1"/>
    </w:lvl>
  </w:abstractNum>
  <w:abstractNum w:abstractNumId="45">
    <w:nsid w:val="25413BEC"/>
    <w:multiLevelType w:val="hybridMultilevel"/>
    <w:lvl w:ilvl="0">
      <w:lvlJc w:val="left"/>
      <w:lvlText w:val="●"/>
      <w:numFmt w:val="bullet"/>
      <w:start w:val="1"/>
    </w:lvl>
  </w:abstractNum>
  <w:abstractNum w:abstractNumId="46">
    <w:nsid w:val="17180B0B"/>
    <w:multiLevelType w:val="hybridMultilevel"/>
    <w:lvl w:ilvl="0">
      <w:lvlJc w:val="left"/>
      <w:lvlText w:val="(%1)"/>
      <w:numFmt w:val="lowerLetter"/>
      <w:start w:val="1"/>
    </w:lvl>
  </w:abstractNum>
  <w:abstractNum w:abstractNumId="47">
    <w:nsid w:val="579328B9"/>
    <w:multiLevelType w:val="hybridMultilevel"/>
    <w:lvl w:ilvl="0">
      <w:lvlJc w:val="left"/>
      <w:lvlText w:val="●"/>
      <w:numFmt w:val="bullet"/>
      <w:start w:val="1"/>
    </w:lvl>
  </w:abstractNum>
  <w:abstractNum w:abstractNumId="48">
    <w:nsid w:val="5D205E20"/>
    <w:multiLevelType w:val="hybridMultilevel"/>
    <w:lvl w:ilvl="0">
      <w:lvlJc w:val="left"/>
      <w:lvlText w:val="●"/>
      <w:numFmt w:val="bullet"/>
      <w:start w:val="1"/>
    </w:lvl>
  </w:abstractNum>
  <w:abstractNum w:abstractNumId="49">
    <w:nsid w:val="11CCA8BA"/>
    <w:multiLevelType w:val="hybridMultilevel"/>
    <w:lvl w:ilvl="0">
      <w:lvlJc w:val="left"/>
      <w:lvlText w:val="●"/>
      <w:numFmt w:val="bullet"/>
      <w:start w:val="1"/>
    </w:lvl>
  </w:abstractNum>
  <w:abstractNum w:abstractNumId="50">
    <w:nsid w:val="4D32AB86"/>
    <w:multiLevelType w:val="hybridMultilevel"/>
    <w:lvl w:ilvl="0">
      <w:lvlJc w:val="left"/>
      <w:lvlText w:val="(%1)"/>
      <w:numFmt w:val="lowerLetter"/>
      <w:start w:val="1"/>
    </w:lvl>
  </w:abstractNum>
  <w:abstractNum w:abstractNumId="51">
    <w:nsid w:val="3F07ACC3"/>
    <w:multiLevelType w:val="hybridMultilevel"/>
    <w:lvl w:ilvl="0">
      <w:lvlJc w:val="left"/>
      <w:lvlText w:val="●"/>
      <w:numFmt w:val="bullet"/>
      <w:start w:val="1"/>
    </w:lvl>
  </w:abstractNum>
  <w:abstractNum w:abstractNumId="52">
    <w:nsid w:val="6B47F63E"/>
    <w:multiLevelType w:val="hybridMultilevel"/>
    <w:lvl w:ilvl="0">
      <w:lvlJc w:val="left"/>
      <w:lvlText w:val="●"/>
      <w:numFmt w:val="bullet"/>
      <w:start w:val="1"/>
    </w:lvl>
  </w:abstractNum>
  <w:abstractNum w:abstractNumId="53">
    <w:nsid w:val="5CB44A05"/>
    <w:multiLevelType w:val="hybridMultilevel"/>
    <w:lvl w:ilvl="0">
      <w:lvlJc w:val="left"/>
      <w:lvlText w:val="●"/>
      <w:numFmt w:val="bullet"/>
      <w:start w:val="1"/>
    </w:lvl>
  </w:abstractNum>
  <w:abstractNum w:abstractNumId="54">
    <w:nsid w:val="16CF80F1"/>
    <w:multiLevelType w:val="hybridMultilevel"/>
    <w:lvl w:ilvl="0">
      <w:lvlJc w:val="left"/>
      <w:lvlText w:val="%1."/>
      <w:numFmt w:val="decimal"/>
      <w:start w:val="1"/>
    </w:lvl>
  </w:abstractNum>
  <w:abstractNum w:abstractNumId="55">
    <w:nsid w:val="1C695DEC"/>
    <w:multiLevelType w:val="hybridMultilevel"/>
    <w:lvl w:ilvl="0">
      <w:lvlJc w:val="left"/>
      <w:lvlText w:val="%1."/>
      <w:numFmt w:val="decimal"/>
      <w:start w:val="2"/>
    </w:lvl>
  </w:abstractNum>
  <w:abstractNum w:abstractNumId="56">
    <w:nsid w:val="3FCFAED9"/>
    <w:multiLevelType w:val="hybridMultilevel"/>
    <w:lvl w:ilvl="0">
      <w:lvlJc w:val="left"/>
      <w:lvlText w:val="●"/>
      <w:numFmt w:val="bullet"/>
      <w:start w:val="1"/>
    </w:lvl>
  </w:abstractNum>
  <w:abstractNum w:abstractNumId="57">
    <w:nsid w:val="F856867"/>
    <w:multiLevelType w:val="hybridMultilevel"/>
    <w:lvl w:ilvl="0">
      <w:lvlJc w:val="left"/>
      <w:lvlText w:val="●"/>
      <w:numFmt w:val="bullet"/>
      <w:start w:val="1"/>
    </w:lvl>
    <w:lvl w:ilvl="1">
      <w:lvlJc w:val="left"/>
      <w:lvlText w:val="●"/>
      <w:numFmt w:val="bullet"/>
      <w:start w:val="1"/>
    </w:lvl>
  </w:abstractNum>
  <w:abstractNum w:abstractNumId="58">
    <w:nsid w:val="11B1CC33"/>
    <w:multiLevelType w:val="hybridMultilevel"/>
    <w:lvl w:ilvl="0">
      <w:lvlJc w:val="left"/>
      <w:lvlText w:val="●"/>
      <w:numFmt w:val="bullet"/>
      <w:start w:val="1"/>
    </w:lvl>
  </w:abstractNum>
  <w:abstractNum w:abstractNumId="59">
    <w:nsid w:val="2E22FBB7"/>
    <w:multiLevelType w:val="hybridMultilevel"/>
    <w:lvl w:ilvl="0">
      <w:lvlJc w:val="left"/>
      <w:lvlText w:val="●"/>
      <w:numFmt w:val="bullet"/>
      <w:start w:val="1"/>
    </w:lvl>
  </w:abstractNum>
  <w:abstractNum w:abstractNumId="60">
    <w:nsid w:val="29934699"/>
    <w:multiLevelType w:val="hybridMultilevel"/>
    <w:lvl w:ilvl="0">
      <w:lvlJc w:val="left"/>
      <w:lvlText w:val="(%1)"/>
      <w:numFmt w:val="lowerLetter"/>
      <w:start w:val="1"/>
    </w:lvl>
  </w:abstractNum>
  <w:abstractNum w:abstractNumId="61">
    <w:nsid w:val="77485850"/>
    <w:multiLevelType w:val="hybridMultilevel"/>
    <w:lvl w:ilvl="0">
      <w:lvlJc w:val="left"/>
      <w:lvlText w:val="(%1)"/>
      <w:numFmt w:val="lowerLetter"/>
      <w:start w:val="1"/>
    </w:lvl>
  </w:abstractNum>
  <w:abstractNum w:abstractNumId="62">
    <w:nsid w:val="744939A3"/>
    <w:multiLevelType w:val="hybridMultilevel"/>
    <w:lvl w:ilvl="0">
      <w:lvlJc w:val="left"/>
      <w:lvlText w:val="%1."/>
      <w:numFmt w:val="decimal"/>
      <w:start w:val="3"/>
    </w:lvl>
  </w:abstractNum>
  <w:abstractNum w:abstractNumId="63">
    <w:nsid w:val="4FA0D2E3"/>
    <w:multiLevelType w:val="hybridMultilevel"/>
    <w:lvl w:ilvl="0">
      <w:lvlJc w:val="left"/>
      <w:lvlText w:val="%1."/>
      <w:numFmt w:val="decimal"/>
      <w:start w:val="4"/>
    </w:lvl>
  </w:abstractNum>
  <w:abstractNum w:abstractNumId="64">
    <w:nsid w:val="6B1D2C14"/>
    <w:multiLevelType w:val="hybridMultilevel"/>
    <w:lvl w:ilvl="0">
      <w:lvlJc w:val="left"/>
      <w:lvlText w:val="(%1)"/>
      <w:numFmt w:val="lowerLetter"/>
      <w:start w:val="1"/>
    </w:lvl>
  </w:abstractNum>
  <w:abstractNum w:abstractNumId="65">
    <w:nsid w:val="68B867D3"/>
    <w:multiLevelType w:val="hybridMultilevel"/>
    <w:lvl w:ilvl="0">
      <w:lvlJc w:val="left"/>
      <w:lvlText w:val="(%1)"/>
      <w:numFmt w:val="lowerLetter"/>
      <w:start w:val="2"/>
    </w:lvl>
  </w:abstractNum>
  <w:abstractNum w:abstractNumId="66">
    <w:nsid w:val="3F7F5DD9"/>
    <w:multiLevelType w:val="hybridMultilevel"/>
    <w:lvl w:ilvl="0">
      <w:lvlJc w:val="left"/>
      <w:lvlText w:val="%1."/>
      <w:numFmt w:val="decimal"/>
      <w:start w:val="5"/>
    </w:lvl>
  </w:abstractNum>
  <w:abstractNum w:abstractNumId="67">
    <w:nsid w:val="2AE05A34"/>
    <w:multiLevelType w:val="hybridMultilevel"/>
    <w:lvl w:ilvl="0">
      <w:lvlJc w:val="left"/>
      <w:lvlText w:val="%1."/>
      <w:numFmt w:val="decimal"/>
      <w:start w:val="6"/>
    </w:lvl>
  </w:abstractNum>
  <w:abstractNum w:abstractNumId="68">
    <w:nsid w:val="32794FF7"/>
    <w:multiLevelType w:val="hybridMultilevel"/>
    <w:lvl w:ilvl="0">
      <w:lvlJc w:val="left"/>
      <w:lvlText w:val="(%1)"/>
      <w:numFmt w:val="lowerLetter"/>
      <w:start w:val="1"/>
    </w:lvl>
  </w:abstractNum>
  <w:abstractNum w:abstractNumId="69">
    <w:nsid w:val="5454945E"/>
    <w:multiLevelType w:val="hybridMultilevel"/>
    <w:lvl w:ilvl="0">
      <w:lvlJc w:val="left"/>
      <w:lvlText w:val="(%1)"/>
      <w:numFmt w:val="lowerRoman"/>
      <w:start w:val="1"/>
    </w:lvl>
  </w:abstractNum>
  <w:abstractNum w:abstractNumId="70">
    <w:nsid w:val="4DEFDFA0"/>
    <w:multiLevelType w:val="hybridMultilevel"/>
    <w:lvl w:ilvl="0">
      <w:lvlJc w:val="left"/>
      <w:lvlText w:val="(%1)"/>
      <w:numFmt w:val="lowerRoman"/>
      <w:start w:val="1"/>
    </w:lvl>
  </w:abstractNum>
  <w:abstractNum w:abstractNumId="71">
    <w:nsid w:val="2123D5F2"/>
    <w:multiLevelType w:val="hybridMultilevel"/>
    <w:lvl w:ilvl="0">
      <w:lvlJc w:val="left"/>
      <w:lvlText w:val="%1."/>
      <w:numFmt w:val="decimal"/>
      <w:start w:val="7"/>
    </w:lvl>
  </w:abstractNum>
  <w:abstractNum w:abstractNumId="72">
    <w:nsid w:val="135B8110"/>
    <w:multiLevelType w:val="hybridMultilevel"/>
    <w:lvl w:ilvl="0">
      <w:lvlJc w:val="left"/>
      <w:lvlText w:val="%1."/>
      <w:numFmt w:val="decimal"/>
      <w:start w:val="8"/>
    </w:lvl>
  </w:abstractNum>
  <w:abstractNum w:abstractNumId="73">
    <w:nsid w:val="94927A8"/>
    <w:multiLevelType w:val="hybridMultilevel"/>
    <w:lvl w:ilvl="0">
      <w:lvlJc w:val="left"/>
      <w:lvlText w:val="(%1)"/>
      <w:numFmt w:val="lowerLetter"/>
      <w:start w:val="1"/>
    </w:lvl>
  </w:abstractNum>
  <w:abstractNum w:abstractNumId="74">
    <w:nsid w:val="DCDF8F6"/>
    <w:multiLevelType w:val="hybridMultilevel"/>
    <w:lvl w:ilvl="0">
      <w:lvlJc w:val="left"/>
      <w:lvlText w:val="(%1)"/>
      <w:numFmt w:val="lowerLetter"/>
      <w:start w:val="2"/>
    </w:lvl>
  </w:abstractNum>
  <w:abstractNum w:abstractNumId="75">
    <w:nsid w:val="52D7B105"/>
    <w:multiLevelType w:val="hybridMultilevel"/>
    <w:lvl w:ilvl="0">
      <w:lvlJc w:val="left"/>
      <w:lvlText w:val="(%1)"/>
      <w:numFmt w:val="lowerLetter"/>
      <w:start w:val="1"/>
    </w:lvl>
  </w:abstractNum>
  <w:abstractNum w:abstractNumId="76">
    <w:nsid w:val="2E8A6394"/>
    <w:multiLevelType w:val="hybridMultilevel"/>
    <w:lvl w:ilvl="0">
      <w:lvlJc w:val="left"/>
      <w:lvlText w:val="●"/>
      <w:numFmt w:val="bullet"/>
      <w:start w:val="1"/>
    </w:lvl>
  </w:abstractNum>
  <w:abstractNum w:abstractNumId="77">
    <w:nsid w:val="24E60401"/>
    <w:multiLevelType w:val="hybridMultilevel"/>
    <w:lvl w:ilvl="0">
      <w:lvlJc w:val="left"/>
      <w:lvlText w:val="●"/>
      <w:numFmt w:val="bullet"/>
      <w:start w:val="1"/>
    </w:lvl>
  </w:abstractNum>
  <w:abstractNum w:abstractNumId="78">
    <w:nsid w:val="2A6AD9BE"/>
    <w:multiLevelType w:val="hybridMultilevel"/>
    <w:lvl w:ilvl="0">
      <w:lvlJc w:val="left"/>
      <w:lvlText w:val="●"/>
      <w:numFmt w:val="bullet"/>
      <w:start w:val="1"/>
    </w:lvl>
  </w:abstractNum>
  <w:abstractNum w:abstractNumId="79">
    <w:nsid w:val="BAAC1B4"/>
    <w:multiLevelType w:val="hybridMultilevel"/>
    <w:lvl w:ilvl="0">
      <w:lvlJc w:val="left"/>
      <w:lvlText w:val="●"/>
      <w:numFmt w:val="bullet"/>
      <w:start w:val="1"/>
    </w:lvl>
  </w:abstractNum>
  <w:abstractNum w:abstractNumId="80">
    <w:nsid w:val="36B2ACBC"/>
    <w:multiLevelType w:val="hybridMultilevel"/>
    <w:lvl w:ilvl="0">
      <w:lvlJc w:val="left"/>
      <w:lvlText w:val="(%1)"/>
      <w:numFmt w:val="lowerLetter"/>
      <w:start w:val="1"/>
    </w:lvl>
  </w:abstractNum>
  <w:abstractNum w:abstractNumId="81">
    <w:nsid w:val="779D8544"/>
    <w:multiLevelType w:val="hybridMultilevel"/>
    <w:lvl w:ilvl="0">
      <w:lvlJc w:val="left"/>
      <w:lvlText w:val="(%1)"/>
      <w:numFmt w:val="lowerLetter"/>
      <w:start w:val="1"/>
    </w:lvl>
  </w:abstractNum>
  <w:abstractNum w:abstractNumId="82">
    <w:nsid w:val="4AB26E78"/>
    <w:multiLevelType w:val="hybridMultilevel"/>
    <w:lvl w:ilvl="0">
      <w:lvlJc w:val="left"/>
      <w:lvlText w:val="(%1)"/>
      <w:numFmt w:val="lowerLetter"/>
      <w:start w:val="3"/>
    </w:lvl>
  </w:abstractNum>
  <w:abstractNum w:abstractNumId="83">
    <w:nsid w:val="21FAA2FA"/>
    <w:multiLevelType w:val="hybridMultilevel"/>
    <w:lvl w:ilvl="0">
      <w:lvlJc w:val="left"/>
      <w:lvlText w:val="(%1)"/>
      <w:numFmt w:val="lowerLetter"/>
      <w:start w:val="1"/>
    </w:lvl>
  </w:abstractNum>
  <w:abstractNum w:abstractNumId="84">
    <w:nsid w:val="5451CF49"/>
    <w:multiLevelType w:val="hybridMultilevel"/>
    <w:lvl w:ilvl="0">
      <w:lvlJc w:val="left"/>
      <w:lvlText w:val="(%1)"/>
      <w:numFmt w:val="lowerLetter"/>
      <w:start w:val="1"/>
    </w:lvl>
  </w:abstractNum>
  <w:abstractNum w:abstractNumId="85">
    <w:nsid w:val="6181EF69"/>
    <w:multiLevelType w:val="hybridMultilevel"/>
    <w:lvl w:ilvl="0">
      <w:lvlJc w:val="left"/>
      <w:lvlText w:val="•"/>
      <w:numFmt w:val="bullet"/>
      <w:start w:val="1"/>
    </w:lvl>
  </w:abstractNum>
  <w:abstractNum w:abstractNumId="86">
    <w:nsid w:val="3E6400E6"/>
    <w:multiLevelType w:val="hybridMultilevel"/>
    <w:lvl w:ilvl="0">
      <w:lvlJc w:val="left"/>
      <w:lvlText w:val="(%1)"/>
      <w:numFmt w:val="lowerLetter"/>
      <w:start w:val="1"/>
    </w:lvl>
  </w:abstractNum>
  <w:abstractNum w:abstractNumId="87">
    <w:nsid w:val="14217E23"/>
    <w:multiLevelType w:val="hybridMultilevel"/>
    <w:lvl w:ilvl="0">
      <w:lvlJc w:val="left"/>
      <w:lvlText w:val="(%1)"/>
      <w:numFmt w:val="lowerLetter"/>
      <w:start w:val="7"/>
    </w:lvl>
  </w:abstractNum>
  <w:abstractNum w:abstractNumId="88">
    <w:nsid w:val="710757D0"/>
    <w:multiLevelType w:val="hybridMultilevel"/>
    <w:lvl w:ilvl="0">
      <w:lvlJc w:val="left"/>
      <w:lvlText w:val="(%1)"/>
      <w:numFmt w:val="lowerLetter"/>
      <w:start w:val="1"/>
    </w:lvl>
  </w:abstractNum>
  <w:abstractNum w:abstractNumId="89">
    <w:nsid w:val="5015CD1A"/>
    <w:multiLevelType w:val="hybridMultilevel"/>
    <w:lvl w:ilvl="0">
      <w:lvlJc w:val="left"/>
      <w:lvlText w:val="(%1)"/>
      <w:numFmt w:val="lowerLetter"/>
      <w:start w:val="1"/>
    </w:lvl>
  </w:abstractNum>
  <w:abstractNum w:abstractNumId="90">
    <w:nsid w:val="424479DA"/>
    <w:multiLevelType w:val="hybridMultilevel"/>
    <w:lvl w:ilvl="0">
      <w:lvlJc w:val="left"/>
      <w:lvlText w:val="(%1)"/>
      <w:numFmt w:val="lowerLetter"/>
      <w:start w:val="1"/>
    </w:lvl>
  </w:abstractNum>
  <w:abstractNum w:abstractNumId="91">
    <w:nsid w:val="1A9A9E69"/>
    <w:multiLevelType w:val="hybridMultilevel"/>
    <w:lvl w:ilvl="0">
      <w:lvlJc w:val="left"/>
      <w:lvlText w:val="%1."/>
      <w:numFmt w:val="lowerRoman"/>
      <w:start w:val="1"/>
    </w:lvl>
  </w:abstractNum>
  <w:abstractNum w:abstractNumId="92">
    <w:nsid w:val="475E256A"/>
    <w:multiLevelType w:val="hybridMultilevel"/>
    <w:lvl w:ilvl="0">
      <w:lvlJc w:val="left"/>
      <w:lvlText w:val="(%1)"/>
      <w:numFmt w:val="lowerRoman"/>
      <w:start w:val="4"/>
    </w:lvl>
  </w:abstractNum>
  <w:abstractNum w:abstractNumId="93">
    <w:nsid w:val="368DB37E"/>
    <w:multiLevelType w:val="hybridMultilevel"/>
    <w:lvl w:ilvl="0">
      <w:lvlJc w:val="left"/>
      <w:lvlText w:val="*"/>
      <w:numFmt w:val="bullet"/>
      <w:start w:val="1"/>
    </w:lvl>
  </w:abstractNum>
  <w:abstractNum w:abstractNumId="94">
    <w:nsid w:val="6A3B714C"/>
    <w:multiLevelType w:val="hybridMultilevel"/>
    <w:lvl w:ilvl="0">
      <w:lvlJc w:val="left"/>
      <w:lvlText w:val="†"/>
      <w:numFmt w:val="bullet"/>
      <w:start w:val="1"/>
    </w:lvl>
  </w:abstractNum>
  <w:abstractNum w:abstractNumId="95">
    <w:nsid w:val="327B517E"/>
    <w:multiLevelType w:val="hybridMultilevel"/>
    <w:lvl w:ilvl="0">
      <w:lvlJc w:val="left"/>
      <w:lvlText w:val="●"/>
      <w:numFmt w:val="bullet"/>
      <w:start w:val="1"/>
    </w:lvl>
  </w:abstractNum>
  <w:abstractNum w:abstractNumId="96">
    <w:nsid w:val="1F461B51"/>
    <w:multiLevelType w:val="hybridMultilevel"/>
    <w:lvl w:ilvl="0">
      <w:lvlJc w:val="left"/>
      <w:lvlText w:val="*"/>
      <w:numFmt w:val="bullet"/>
      <w:start w:val="1"/>
    </w:lvl>
  </w:abstractNum>
  <w:abstractNum w:abstractNumId="97">
    <w:nsid w:val="29BACF25"/>
    <w:multiLevelType w:val="hybridMultilevel"/>
    <w:lvl w:ilvl="0">
      <w:lvlJc w:val="left"/>
      <w:lvlText w:val="**"/>
      <w:numFmt w:val="bullet"/>
      <w:start w:val="1"/>
    </w:lvl>
  </w:abstractNum>
  <w:abstractNum w:abstractNumId="98">
    <w:nsid w:val="5D5BABB3"/>
    <w:multiLevelType w:val="hybridMultilevel"/>
    <w:lvl w:ilvl="0">
      <w:lvlJc w:val="left"/>
      <w:lvlText w:val="%1."/>
      <w:numFmt w:val="decimal"/>
      <w:start w:val="1"/>
    </w:lvl>
  </w:abstractNum>
  <w:abstractNum w:abstractNumId="99">
    <w:nsid w:val="51BF6B48"/>
    <w:multiLevelType w:val="hybridMultilevel"/>
    <w:lvl w:ilvl="0">
      <w:lvlJc w:val="left"/>
      <w:lvlText w:val="(%1)"/>
      <w:numFmt w:val="decimal"/>
      <w:start w:val="1"/>
    </w:lvl>
  </w:abstractNum>
  <w:abstractNum w:abstractNumId="100">
    <w:nsid w:val="7E0F6384"/>
    <w:multiLevelType w:val="hybridMultilevel"/>
    <w:lvl w:ilvl="0">
      <w:lvlJc w:val="left"/>
      <w:lvlText w:val="(%1)"/>
      <w:numFmt w:val="decimal"/>
      <w:start w:val="8"/>
    </w:lvl>
    <w:lvl w:ilvl="1">
      <w:lvlJc w:val="left"/>
      <w:lvlText w:val="(%2)"/>
      <w:numFmt w:val="decimal"/>
      <w:start w:val="1"/>
    </w:lvl>
  </w:abstractNum>
  <w:abstractNum w:abstractNumId="101">
    <w:nsid w:val="2B4B8B53"/>
    <w:multiLevelType w:val="hybridMultilevel"/>
    <w:lvl w:ilvl="0">
      <w:lvlJc w:val="left"/>
      <w:lvlText w:val="(%1)"/>
      <w:numFmt w:val="decimal"/>
      <w:start w:val="10"/>
    </w:lvl>
  </w:abstractNum>
  <w:abstractNum w:abstractNumId="102">
    <w:nsid w:val="72E3413A"/>
    <w:multiLevelType w:val="hybridMultilevel"/>
    <w:lvl w:ilvl="0">
      <w:lvlJc w:val="left"/>
      <w:lvlText w:val="(%1)"/>
      <w:numFmt w:val="decimal"/>
      <w:start w:val="16"/>
    </w:lvl>
  </w:abstractNum>
  <w:abstractNum w:abstractNumId="103">
    <w:nsid w:val="116AE494"/>
    <w:multiLevelType w:val="hybridMultilevel"/>
    <w:lvl w:ilvl="0">
      <w:lvlJc w:val="left"/>
      <w:lvlText w:val="%1."/>
      <w:numFmt w:val="decimal"/>
      <w:start w:val="1"/>
    </w:lvl>
  </w:abstractNum>
  <w:abstractNum w:abstractNumId="104">
    <w:nsid w:val="3494B2FB"/>
    <w:multiLevelType w:val="hybridMultilevel"/>
    <w:lvl w:ilvl="0">
      <w:lvlJc w:val="left"/>
      <w:lvlText w:val="%1."/>
      <w:numFmt w:val="decimal"/>
      <w:start w:val="2"/>
    </w:lvl>
  </w:abstractNum>
  <w:abstractNum w:abstractNumId="105">
    <w:nsid w:val="B13A31"/>
    <w:multiLevelType w:val="hybridMultilevel"/>
    <w:lvl w:ilvl="0">
      <w:lvlJc w:val="left"/>
      <w:lvlText w:val="%1."/>
      <w:numFmt w:val="decimal"/>
      <w:start w:val="3"/>
    </w:lvl>
  </w:abstractNum>
  <w:abstractNum w:abstractNumId="106">
    <w:nsid w:val="64429599"/>
    <w:multiLevelType w:val="hybridMultilevel"/>
    <w:lvl w:ilvl="0">
      <w:lvlJc w:val="left"/>
      <w:lvlText w:val="%1."/>
      <w:numFmt w:val="decimal"/>
      <w:start w:val="4"/>
    </w:lvl>
  </w:abstractNum>
  <w:abstractNum w:abstractNumId="107">
    <w:nsid w:val="631F1690"/>
    <w:multiLevelType w:val="hybridMultilevel"/>
    <w:lvl w:ilvl="0">
      <w:lvlJc w:val="left"/>
      <w:lvlText w:val="%1."/>
      <w:numFmt w:val="decimal"/>
      <w:start w:val="5"/>
    </w:lvl>
  </w:abstractNum>
  <w:abstractNum w:abstractNumId="108">
    <w:nsid w:val="25973E32"/>
    <w:multiLevelType w:val="hybridMultilevel"/>
    <w:lvl w:ilvl="0">
      <w:lvlJc w:val="left"/>
      <w:lvlText w:val="(%1)"/>
      <w:numFmt w:val="decimal"/>
      <w:start w:val="1"/>
    </w:lvl>
  </w:abstractNum>
  <w:abstractNum w:abstractNumId="109">
    <w:nsid w:val="EAD6F57"/>
    <w:multiLevelType w:val="hybridMultilevel"/>
    <w:lvl w:ilvl="0">
      <w:lvlJc w:val="left"/>
      <w:lvlText w:val="%1."/>
      <w:numFmt w:val="decimal"/>
      <w:start w:val="6"/>
    </w:lvl>
  </w:abstractNum>
  <w:abstractNum w:abstractNumId="110">
    <w:nsid w:val="6EC9D844"/>
    <w:multiLevelType w:val="hybridMultilevel"/>
    <w:lvl w:ilvl="0">
      <w:lvlJc w:val="left"/>
      <w:lvlText w:val="●"/>
      <w:numFmt w:val="bullet"/>
      <w:start w:val="1"/>
    </w:lvl>
  </w:abstractNum>
  <w:abstractNum w:abstractNumId="111">
    <w:nsid w:val="5C49EAEE"/>
    <w:multiLevelType w:val="hybridMultilevel"/>
    <w:lvl w:ilvl="0">
      <w:lvlJc w:val="left"/>
      <w:lvlText w:val="%1."/>
      <w:numFmt w:val="decimal"/>
      <w:start w:val="7"/>
    </w:lvl>
  </w:abstractNum>
  <w:abstractNum w:abstractNumId="112">
    <w:nsid w:val="64AF49B"/>
    <w:multiLevelType w:val="hybridMultilevel"/>
    <w:lvl w:ilvl="0">
      <w:lvlJc w:val="left"/>
      <w:lvlText w:val="%1."/>
      <w:numFmt w:val="decimal"/>
      <w:start w:val="8"/>
    </w:lvl>
  </w:abstractNum>
  <w:abstractNum w:abstractNumId="113">
    <w:nsid w:val="397C46BC"/>
    <w:multiLevelType w:val="hybridMultilevel"/>
    <w:lvl w:ilvl="0">
      <w:lvlJc w:val="left"/>
      <w:lvlText w:val="%1."/>
      <w:numFmt w:val="decimal"/>
      <w:start w:val="9"/>
    </w:lvl>
  </w:abstractNum>
  <w:abstractNum w:abstractNumId="114">
    <w:nsid w:val="7E448DE9"/>
    <w:multiLevelType w:val="hybridMultilevel"/>
    <w:lvl w:ilvl="0">
      <w:lvlJc w:val="left"/>
      <w:lvlText w:val="%1."/>
      <w:numFmt w:val="decimal"/>
      <w:start w:val="10"/>
    </w:lvl>
  </w:abstractNum>
  <w:abstractNum w:abstractNumId="115">
    <w:nsid w:val="5A9CC3E5"/>
    <w:multiLevelType w:val="hybridMultilevel"/>
    <w:lvl w:ilvl="0">
      <w:lvlJc w:val="left"/>
      <w:lvlText w:val="%1."/>
      <w:numFmt w:val="decimal"/>
      <w:start w:val="11"/>
    </w:lvl>
  </w:abstractNum>
  <w:abstractNum w:abstractNumId="116">
    <w:nsid w:val="1AFE3625"/>
    <w:multiLevelType w:val="hybridMultilevel"/>
    <w:lvl w:ilvl="0">
      <w:lvlJc w:val="left"/>
      <w:lvlText w:val="%1."/>
      <w:numFmt w:val="decimal"/>
      <w:start w:val="12"/>
    </w:lvl>
  </w:abstractNum>
  <w:abstractNum w:abstractNumId="117">
    <w:nsid w:val="3CA88ECF"/>
    <w:multiLevelType w:val="hybridMultilevel"/>
    <w:lvl w:ilvl="0">
      <w:lvlJc w:val="left"/>
      <w:lvlText w:val="%1."/>
      <w:numFmt w:val="decimal"/>
      <w:start w:val="13"/>
    </w:lvl>
  </w:abstractNum>
  <w:abstractNum w:abstractNumId="118">
    <w:nsid w:val="6EBE4208"/>
    <w:multiLevelType w:val="hybridMultilevel"/>
    <w:lvl w:ilvl="0">
      <w:lvlJc w:val="left"/>
      <w:lvlText w:val="%1."/>
      <w:numFmt w:val="decimal"/>
      <w:start w:val="14"/>
    </w:lvl>
  </w:abstractNum>
  <w:abstractNum w:abstractNumId="119">
    <w:nsid w:val="C058DF5"/>
    <w:multiLevelType w:val="hybridMultilevel"/>
    <w:lvl w:ilvl="0">
      <w:lvlJc w:val="left"/>
      <w:lvlText w:val="%1."/>
      <w:numFmt w:val="decimal"/>
      <w:start w:val="15"/>
    </w:lvl>
  </w:abstractNum>
  <w:abstractNum w:abstractNumId="120">
    <w:nsid w:val="CBE5BE9"/>
    <w:multiLevelType w:val="hybridMultilevel"/>
    <w:lvl w:ilvl="0">
      <w:lvlJc w:val="left"/>
      <w:lvlText w:val="%1."/>
      <w:numFmt w:val="decimal"/>
      <w:start w:val="16"/>
    </w:lvl>
  </w:abstractNum>
  <w:abstractNum w:abstractNumId="121">
    <w:nsid w:val="3102BBE2"/>
    <w:multiLevelType w:val="hybridMultilevel"/>
    <w:lvl w:ilvl="0">
      <w:lvlJc w:val="left"/>
      <w:lvlText w:val="%1."/>
      <w:numFmt w:val="decimal"/>
      <w:start w:val="17"/>
    </w:lvl>
  </w:abstractNum>
  <w:abstractNum w:abstractNumId="122">
    <w:nsid w:val="26A02C5E"/>
    <w:multiLevelType w:val="hybridMultilevel"/>
    <w:lvl w:ilvl="0">
      <w:lvlJc w:val="left"/>
      <w:lvlText w:val="%1."/>
      <w:numFmt w:val="decimal"/>
      <w:start w:val="18"/>
    </w:lvl>
  </w:abstractNum>
  <w:abstractNum w:abstractNumId="123">
    <w:nsid w:val="541C8153"/>
    <w:multiLevelType w:val="hybridMultilevel"/>
    <w:lvl w:ilvl="0">
      <w:lvlJc w:val="left"/>
      <w:lvlText w:val="%1."/>
      <w:numFmt w:val="decimal"/>
      <w:start w:val="19"/>
    </w:lvl>
  </w:abstractNum>
  <w:abstractNum w:abstractNumId="124">
    <w:nsid w:val="67906F60"/>
    <w:multiLevelType w:val="hybridMultilevel"/>
    <w:lvl w:ilvl="0">
      <w:lvlJc w:val="left"/>
      <w:lvlText w:val="(%1)"/>
      <w:numFmt w:val="lowerRoman"/>
      <w:start w:val="1"/>
    </w:lvl>
  </w:abstractNum>
  <w:abstractNum w:abstractNumId="125">
    <w:nsid w:val="10DB9DAA"/>
    <w:multiLevelType w:val="hybridMultilevel"/>
    <w:lvl w:ilvl="0">
      <w:lvlJc w:val="left"/>
      <w:lvlText w:val="(%1)"/>
      <w:numFmt w:val="lowerRoman"/>
      <w:start w:val="3"/>
    </w:lvl>
  </w:abstractNum>
  <w:abstractNum w:abstractNumId="126">
    <w:nsid w:val="697D2D2"/>
    <w:multiLevelType w:val="hybridMultilevel"/>
    <w:lvl w:ilvl="0">
      <w:lvlJc w:val="left"/>
      <w:lvlText w:val="%1."/>
      <w:numFmt w:val="decimal"/>
      <w:start w:val="1"/>
    </w:lvl>
  </w:abstractNum>
  <w:abstractNum w:abstractNumId="127">
    <w:nsid w:val="6D68AB2"/>
    <w:multiLevelType w:val="hybridMultilevel"/>
    <w:lvl w:ilvl="0">
      <w:lvlJc w:val="left"/>
      <w:lvlText w:val="(%1)"/>
      <w:numFmt w:val="decimal"/>
      <w:start w:val="1"/>
    </w:lvl>
  </w:abstractNum>
  <w:abstractNum w:abstractNumId="128">
    <w:nsid w:val="3A966CD0"/>
    <w:multiLevelType w:val="hybridMultilevel"/>
    <w:lvl w:ilvl="0">
      <w:lvlJc w:val="left"/>
      <w:lvlText w:val="(%1)"/>
      <w:numFmt w:val="decimal"/>
      <w:start w:val="8"/>
    </w:lvl>
    <w:lvl w:ilvl="1">
      <w:lvlJc w:val="left"/>
      <w:lvlText w:val="(%2)"/>
      <w:numFmt w:val="decimal"/>
      <w:start w:val="1"/>
    </w:lvl>
  </w:abstractNum>
  <w:abstractNum w:abstractNumId="129">
    <w:nsid w:val="63F37E85"/>
    <w:multiLevelType w:val="hybridMultilevel"/>
    <w:lvl w:ilvl="0">
      <w:lvlJc w:val="left"/>
      <w:lvlText w:val="(%1)"/>
      <w:numFmt w:val="decimal"/>
      <w:start w:val="10"/>
    </w:lvl>
  </w:abstractNum>
  <w:abstractNum w:abstractNumId="130">
    <w:nsid w:val="5895F5FA"/>
    <w:multiLevelType w:val="hybridMultilevel"/>
    <w:lvl w:ilvl="0">
      <w:lvlJc w:val="left"/>
      <w:lvlText w:val="(%1)"/>
      <w:numFmt w:val="decimal"/>
      <w:start w:val="16"/>
    </w:lvl>
  </w:abstractNum>
  <w:abstractNum w:abstractNumId="131">
    <w:nsid w:val="38A5D054"/>
    <w:multiLevelType w:val="hybridMultilevel"/>
    <w:lvl w:ilvl="0">
      <w:lvlJc w:val="left"/>
      <w:lvlText w:val="%1."/>
      <w:numFmt w:val="decimal"/>
      <w:start w:val="1"/>
    </w:lvl>
  </w:abstractNum>
  <w:abstractNum w:abstractNumId="132">
    <w:nsid w:val="F3F09D8"/>
    <w:multiLevelType w:val="hybridMultilevel"/>
    <w:lvl w:ilvl="0">
      <w:lvlJc w:val="left"/>
      <w:lvlText w:val="%1."/>
      <w:numFmt w:val="decimal"/>
      <w:start w:val="2"/>
    </w:lvl>
  </w:abstractNum>
  <w:abstractNum w:abstractNumId="133">
    <w:nsid w:val="4B793735"/>
    <w:multiLevelType w:val="hybridMultilevel"/>
    <w:lvl w:ilvl="0">
      <w:lvlJc w:val="left"/>
      <w:lvlText w:val="%1."/>
      <w:numFmt w:val="decimal"/>
      <w:start w:val="3"/>
    </w:lvl>
  </w:abstractNum>
  <w:abstractNum w:abstractNumId="134">
    <w:nsid w:val="4A10B4E8"/>
    <w:multiLevelType w:val="hybridMultilevel"/>
    <w:lvl w:ilvl="0">
      <w:lvlJc w:val="left"/>
      <w:lvlText w:val="%1."/>
      <w:numFmt w:val="decimal"/>
      <w:start w:val="4"/>
    </w:lvl>
  </w:abstractNum>
  <w:abstractNum w:abstractNumId="135">
    <w:nsid w:val="43D3BCD4"/>
    <w:multiLevelType w:val="hybridMultilevel"/>
    <w:lvl w:ilvl="0">
      <w:lvlJc w:val="left"/>
      <w:lvlText w:val="%1."/>
      <w:numFmt w:val="decimal"/>
      <w:start w:val="5"/>
    </w:lvl>
  </w:abstractNum>
  <w:abstractNum w:abstractNumId="136">
    <w:nsid w:val="4C2A7166"/>
    <w:multiLevelType w:val="hybridMultilevel"/>
    <w:lvl w:ilvl="0">
      <w:lvlJc w:val="left"/>
      <w:lvlText w:val="(%1)"/>
      <w:numFmt w:val="decimal"/>
      <w:start w:val="1"/>
    </w:lvl>
  </w:abstractNum>
  <w:abstractNum w:abstractNumId="137">
    <w:nsid w:val="2E534A82"/>
    <w:multiLevelType w:val="hybridMultilevel"/>
    <w:lvl w:ilvl="0">
      <w:lvlJc w:val="left"/>
      <w:lvlText w:val="%1."/>
      <w:numFmt w:val="decimal"/>
      <w:start w:val="6"/>
    </w:lvl>
  </w:abstractNum>
  <w:abstractNum w:abstractNumId="138">
    <w:nsid w:val="26F2D364"/>
    <w:multiLevelType w:val="hybridMultilevel"/>
    <w:lvl w:ilvl="0">
      <w:lvlJc w:val="left"/>
      <w:lvlText w:val="●"/>
      <w:numFmt w:val="bullet"/>
      <w:start w:val="1"/>
    </w:lvl>
  </w:abstractNum>
  <w:abstractNum w:abstractNumId="139">
    <w:nsid w:val="71C1AF98"/>
    <w:multiLevelType w:val="hybridMultilevel"/>
    <w:lvl w:ilvl="0">
      <w:lvlJc w:val="left"/>
      <w:lvlText w:val="%1."/>
      <w:numFmt w:val="decimal"/>
      <w:start w:val="7"/>
    </w:lvl>
  </w:abstractNum>
  <w:abstractNum w:abstractNumId="140">
    <w:nsid w:val="3D00B9D9"/>
    <w:multiLevelType w:val="hybridMultilevel"/>
    <w:lvl w:ilvl="0">
      <w:lvlJc w:val="left"/>
      <w:lvlText w:val="%1."/>
      <w:numFmt w:val="decimal"/>
      <w:start w:val="8"/>
    </w:lvl>
  </w:abstractNum>
  <w:abstractNum w:abstractNumId="141">
    <w:nsid w:val="15BCABA8"/>
    <w:multiLevelType w:val="hybridMultilevel"/>
    <w:lvl w:ilvl="0">
      <w:lvlJc w:val="left"/>
      <w:lvlText w:val="%1."/>
      <w:numFmt w:val="decimal"/>
      <w:start w:val="9"/>
    </w:lvl>
  </w:abstractNum>
  <w:abstractNum w:abstractNumId="142">
    <w:nsid w:val="4E0B9A87"/>
    <w:multiLevelType w:val="hybridMultilevel"/>
    <w:lvl w:ilvl="0">
      <w:lvlJc w:val="left"/>
      <w:lvlText w:val="%1."/>
      <w:numFmt w:val="decimal"/>
      <w:start w:val="10"/>
    </w:lvl>
  </w:abstractNum>
  <w:abstractNum w:abstractNumId="143">
    <w:nsid w:val="434BAE75"/>
    <w:multiLevelType w:val="hybridMultilevel"/>
    <w:lvl w:ilvl="0">
      <w:lvlJc w:val="left"/>
      <w:lvlText w:val="%1."/>
      <w:numFmt w:val="decimal"/>
      <w:start w:val="11"/>
    </w:lvl>
  </w:abstractNum>
  <w:abstractNum w:abstractNumId="144">
    <w:nsid w:val="4F38F265"/>
    <w:multiLevelType w:val="hybridMultilevel"/>
    <w:lvl w:ilvl="0">
      <w:lvlJc w:val="left"/>
      <w:lvlText w:val="%1."/>
      <w:numFmt w:val="decimal"/>
      <w:start w:val="12"/>
    </w:lvl>
  </w:abstractNum>
  <w:abstractNum w:abstractNumId="145">
    <w:nsid w:val="4C502870"/>
    <w:multiLevelType w:val="hybridMultilevel"/>
    <w:lvl w:ilvl="0">
      <w:lvlJc w:val="left"/>
      <w:lvlText w:val="%1."/>
      <w:numFmt w:val="decimal"/>
      <w:start w:val="13"/>
    </w:lvl>
  </w:abstractNum>
  <w:abstractNum w:abstractNumId="146">
    <w:nsid w:val="1DE8725A"/>
    <w:multiLevelType w:val="hybridMultilevel"/>
    <w:lvl w:ilvl="0">
      <w:lvlJc w:val="left"/>
      <w:lvlText w:val="%1."/>
      <w:numFmt w:val="decimal"/>
      <w:start w:val="14"/>
    </w:lvl>
  </w:abstractNum>
  <w:abstractNum w:abstractNumId="147">
    <w:nsid w:val="6A37288A"/>
    <w:multiLevelType w:val="hybridMultilevel"/>
    <w:lvl w:ilvl="0">
      <w:lvlJc w:val="left"/>
      <w:lvlText w:val="%1."/>
      <w:numFmt w:val="decimal"/>
      <w:start w:val="15"/>
    </w:lvl>
  </w:abstractNum>
  <w:abstractNum w:abstractNumId="148">
    <w:nsid w:val="8F8B73F"/>
    <w:multiLevelType w:val="hybridMultilevel"/>
    <w:lvl w:ilvl="0">
      <w:lvlJc w:val="left"/>
      <w:lvlText w:val="%1."/>
      <w:numFmt w:val="decimal"/>
      <w:start w:val="16"/>
    </w:lvl>
  </w:abstractNum>
  <w:abstractNum w:abstractNumId="149">
    <w:nsid w:val="CA6B462"/>
    <w:multiLevelType w:val="hybridMultilevel"/>
    <w:lvl w:ilvl="0">
      <w:lvlJc w:val="left"/>
      <w:lvlText w:val="%1."/>
      <w:numFmt w:val="decimal"/>
      <w:start w:val="17"/>
    </w:lvl>
  </w:abstractNum>
  <w:abstractNum w:abstractNumId="150">
    <w:nsid w:val="763CB680"/>
    <w:multiLevelType w:val="hybridMultilevel"/>
    <w:lvl w:ilvl="0">
      <w:lvlJc w:val="left"/>
      <w:lvlText w:val="%1."/>
      <w:numFmt w:val="decimal"/>
      <w:start w:val="18"/>
    </w:lvl>
  </w:abstractNum>
  <w:abstractNum w:abstractNumId="151">
    <w:nsid w:val="15B71329"/>
    <w:multiLevelType w:val="hybridMultilevel"/>
    <w:lvl w:ilvl="0">
      <w:lvlJc w:val="left"/>
      <w:lvlText w:val="%1."/>
      <w:numFmt w:val="decimal"/>
      <w:start w:val="19"/>
    </w:lvl>
  </w:abstractNum>
  <w:abstractNum w:abstractNumId="152">
    <w:nsid w:val="3DA97044"/>
    <w:multiLevelType w:val="hybridMultilevel"/>
    <w:lvl w:ilvl="0">
      <w:lvlJc w:val="left"/>
      <w:lvlText w:val="(%1)"/>
      <w:numFmt w:val="lowerRoman"/>
      <w:start w:val="1"/>
    </w:lvl>
    <w:lvl w:ilvl="1">
      <w:lvlJc w:val="left"/>
      <w:lvlText w:val="(%2)"/>
      <w:numFmt w:val="lowerRoman"/>
      <w:start w:val="2"/>
    </w:lvl>
  </w:abstractNum>
  <w:abstractNum w:abstractNumId="153">
    <w:nsid w:val="1CDCE2DE"/>
    <w:multiLevelType w:val="hybridMultilevel"/>
    <w:lvl w:ilvl="0">
      <w:lvlJc w:val="left"/>
      <w:lvlText w:val="%1."/>
      <w:numFmt w:val="decimal"/>
      <w:start w:val="1"/>
    </w:lvl>
  </w:abstractNum>
  <w:abstractNum w:abstractNumId="154">
    <w:nsid w:val="69D3947C"/>
    <w:multiLevelType w:val="hybridMultilevel"/>
    <w:lvl w:ilvl="0">
      <w:lvlJc w:val="left"/>
      <w:lvlText w:val="(%1)"/>
      <w:numFmt w:val="decimal"/>
      <w:start w:val="1"/>
    </w:lvl>
  </w:abstractNum>
  <w:abstractNum w:abstractNumId="155">
    <w:nsid w:val="2539DFA5"/>
    <w:multiLevelType w:val="hybridMultilevel"/>
    <w:lvl w:ilvl="0">
      <w:lvlJc w:val="left"/>
      <w:lvlText w:val="(%1)"/>
      <w:numFmt w:val="decimal"/>
      <w:start w:val="8"/>
    </w:lvl>
    <w:lvl w:ilvl="1">
      <w:lvlJc w:val="left"/>
      <w:lvlText w:val="(%2)"/>
      <w:numFmt w:val="decimal"/>
      <w:start w:val="1"/>
    </w:lvl>
  </w:abstractNum>
  <w:abstractNum w:abstractNumId="156">
    <w:nsid w:val="2DB88089"/>
    <w:multiLevelType w:val="hybridMultilevel"/>
    <w:lvl w:ilvl="0">
      <w:lvlJc w:val="left"/>
      <w:lvlText w:val="(%1)"/>
      <w:numFmt w:val="decimal"/>
      <w:start w:val="10"/>
    </w:lvl>
  </w:abstractNum>
  <w:abstractNum w:abstractNumId="157">
    <w:nsid w:val="706B674E"/>
    <w:multiLevelType w:val="hybridMultilevel"/>
    <w:lvl w:ilvl="0">
      <w:lvlJc w:val="left"/>
      <w:lvlText w:val="(%1)"/>
      <w:numFmt w:val="decimal"/>
      <w:start w:val="16"/>
    </w:lvl>
  </w:abstractNum>
  <w:abstractNum w:abstractNumId="158">
    <w:nsid w:val="2C106A57"/>
    <w:multiLevelType w:val="hybridMultilevel"/>
    <w:lvl w:ilvl="0">
      <w:lvlJc w:val="left"/>
      <w:lvlText w:val="%1."/>
      <w:numFmt w:val="decimal"/>
      <w:start w:val="1"/>
    </w:lvl>
  </w:abstractNum>
  <w:abstractNum w:abstractNumId="159">
    <w:nsid w:val="684EED59"/>
    <w:multiLevelType w:val="hybridMultilevel"/>
    <w:lvl w:ilvl="0">
      <w:lvlJc w:val="left"/>
      <w:lvlText w:val="%1."/>
      <w:numFmt w:val="decimal"/>
      <w:start w:val="2"/>
    </w:lvl>
  </w:abstractNum>
  <w:abstractNum w:abstractNumId="160">
    <w:nsid w:val="545EE5D3"/>
    <w:multiLevelType w:val="hybridMultilevel"/>
    <w:lvl w:ilvl="0">
      <w:lvlJc w:val="left"/>
      <w:lvlText w:val="%1."/>
      <w:numFmt w:val="decimal"/>
      <w:start w:val="3"/>
    </w:lvl>
  </w:abstractNum>
  <w:abstractNum w:abstractNumId="161">
    <w:nsid w:val="4A66051"/>
    <w:multiLevelType w:val="hybridMultilevel"/>
    <w:lvl w:ilvl="0">
      <w:lvlJc w:val="left"/>
      <w:lvlText w:val="%1."/>
      <w:numFmt w:val="decimal"/>
      <w:start w:val="4"/>
    </w:lvl>
  </w:abstractNum>
  <w:abstractNum w:abstractNumId="162">
    <w:nsid w:val="20F4BDAD"/>
    <w:multiLevelType w:val="hybridMultilevel"/>
    <w:lvl w:ilvl="0">
      <w:lvlJc w:val="left"/>
      <w:lvlText w:val="%1."/>
      <w:numFmt w:val="decimal"/>
      <w:start w:val="5"/>
    </w:lvl>
  </w:abstractNum>
  <w:abstractNum w:abstractNumId="163">
    <w:nsid w:val="639DEFAC"/>
    <w:multiLevelType w:val="hybridMultilevel"/>
    <w:lvl w:ilvl="0">
      <w:lvlJc w:val="left"/>
      <w:lvlText w:val="(%1)"/>
      <w:numFmt w:val="decimal"/>
      <w:start w:val="1"/>
    </w:lvl>
  </w:abstractNum>
  <w:abstractNum w:abstractNumId="164">
    <w:nsid w:val="501F9786"/>
    <w:multiLevelType w:val="hybridMultilevel"/>
    <w:lvl w:ilvl="0">
      <w:lvlJc w:val="left"/>
      <w:lvlText w:val="%1."/>
      <w:numFmt w:val="decimal"/>
      <w:start w:val="6"/>
    </w:lvl>
  </w:abstractNum>
  <w:abstractNum w:abstractNumId="165">
    <w:nsid w:val="6B057295"/>
    <w:multiLevelType w:val="hybridMultilevel"/>
    <w:lvl w:ilvl="0">
      <w:lvlJc w:val="left"/>
      <w:lvlText w:val="●"/>
      <w:numFmt w:val="bullet"/>
      <w:start w:val="1"/>
    </w:lvl>
  </w:abstractNum>
  <w:abstractNum w:abstractNumId="166">
    <w:nsid w:val="2771AC80"/>
    <w:multiLevelType w:val="hybridMultilevel"/>
    <w:lvl w:ilvl="0">
      <w:lvlJc w:val="left"/>
      <w:lvlText w:val="%1."/>
      <w:numFmt w:val="decimal"/>
      <w:start w:val="7"/>
    </w:lvl>
  </w:abstractNum>
  <w:abstractNum w:abstractNumId="167">
    <w:nsid w:val="1C4A08EC"/>
    <w:multiLevelType w:val="hybridMultilevel"/>
    <w:lvl w:ilvl="0">
      <w:lvlJc w:val="left"/>
      <w:lvlText w:val="%1."/>
      <w:numFmt w:val="decimal"/>
      <w:start w:val="8"/>
    </w:lvl>
  </w:abstractNum>
  <w:abstractNum w:abstractNumId="168">
    <w:nsid w:val="1958BD17"/>
    <w:multiLevelType w:val="hybridMultilevel"/>
    <w:lvl w:ilvl="0">
      <w:lvlJc w:val="left"/>
      <w:lvlText w:val="%1."/>
      <w:numFmt w:val="decimal"/>
      <w:start w:val="9"/>
    </w:lvl>
  </w:abstractNum>
  <w:abstractNum w:abstractNumId="169">
    <w:nsid w:val="4E647FE4"/>
    <w:multiLevelType w:val="hybridMultilevel"/>
    <w:lvl w:ilvl="0">
      <w:lvlJc w:val="left"/>
      <w:lvlText w:val="%1."/>
      <w:numFmt w:val="decimal"/>
      <w:start w:val="10"/>
    </w:lvl>
  </w:abstractNum>
  <w:abstractNum w:abstractNumId="170">
    <w:nsid w:val="E0BB885"/>
    <w:multiLevelType w:val="hybridMultilevel"/>
    <w:lvl w:ilvl="0">
      <w:lvlJc w:val="left"/>
      <w:lvlText w:val="%1."/>
      <w:numFmt w:val="decimal"/>
      <w:start w:val="11"/>
    </w:lvl>
  </w:abstractNum>
  <w:abstractNum w:abstractNumId="171">
    <w:nsid w:val="565976F1"/>
    <w:multiLevelType w:val="hybridMultilevel"/>
    <w:lvl w:ilvl="0">
      <w:lvlJc w:val="left"/>
      <w:lvlText w:val="%1."/>
      <w:numFmt w:val="decimal"/>
      <w:start w:val="12"/>
    </w:lvl>
  </w:abstractNum>
  <w:abstractNum w:abstractNumId="172">
    <w:nsid w:val="64212B8C"/>
    <w:multiLevelType w:val="hybridMultilevel"/>
    <w:lvl w:ilvl="0">
      <w:lvlJc w:val="left"/>
      <w:lvlText w:val="%1."/>
      <w:numFmt w:val="decimal"/>
      <w:start w:val="13"/>
    </w:lvl>
  </w:abstractNum>
  <w:abstractNum w:abstractNumId="173">
    <w:nsid w:val="5C17530C"/>
    <w:multiLevelType w:val="hybridMultilevel"/>
    <w:lvl w:ilvl="0">
      <w:lvlJc w:val="left"/>
      <w:lvlText w:val="%1."/>
      <w:numFmt w:val="decimal"/>
      <w:start w:val="14"/>
    </w:lvl>
  </w:abstractNum>
  <w:abstractNum w:abstractNumId="174">
    <w:nsid w:val="19A52566"/>
    <w:multiLevelType w:val="hybridMultilevel"/>
    <w:lvl w:ilvl="0">
      <w:lvlJc w:val="left"/>
      <w:lvlText w:val="%1."/>
      <w:numFmt w:val="decimal"/>
      <w:start w:val="15"/>
    </w:lvl>
  </w:abstractNum>
  <w:abstractNum w:abstractNumId="175">
    <w:nsid w:val="335A1DF1"/>
    <w:multiLevelType w:val="hybridMultilevel"/>
    <w:lvl w:ilvl="0">
      <w:lvlJc w:val="left"/>
      <w:lvlText w:val="%1."/>
      <w:numFmt w:val="decimal"/>
      <w:start w:val="16"/>
    </w:lvl>
  </w:abstractNum>
  <w:abstractNum w:abstractNumId="176">
    <w:nsid w:val="28677B7C"/>
    <w:multiLevelType w:val="hybridMultilevel"/>
    <w:lvl w:ilvl="0">
      <w:lvlJc w:val="left"/>
      <w:lvlText w:val="%1."/>
      <w:numFmt w:val="decimal"/>
      <w:start w:val="17"/>
    </w:lvl>
  </w:abstractNum>
  <w:abstractNum w:abstractNumId="177">
    <w:nsid w:val="378D97C0"/>
    <w:multiLevelType w:val="hybridMultilevel"/>
    <w:lvl w:ilvl="0">
      <w:lvlJc w:val="left"/>
      <w:lvlText w:val="%1."/>
      <w:numFmt w:val="decimal"/>
      <w:start w:val="18"/>
    </w:lvl>
  </w:abstractNum>
  <w:abstractNum w:abstractNumId="178">
    <w:nsid w:val="1D91467C"/>
    <w:multiLevelType w:val="hybridMultilevel"/>
    <w:lvl w:ilvl="0">
      <w:lvlJc w:val="left"/>
      <w:lvlText w:val="%1."/>
      <w:numFmt w:val="decimal"/>
      <w:start w:val="19"/>
    </w:lvl>
  </w:abstractNum>
  <w:abstractNum w:abstractNumId="179">
    <w:nsid w:val="316032BB"/>
    <w:multiLevelType w:val="hybridMultilevel"/>
    <w:lvl w:ilvl="0">
      <w:lvlJc w:val="left"/>
      <w:lvlText w:val="(%1)"/>
      <w:numFmt w:val="lowerRoman"/>
      <w:start w:val="1"/>
    </w:lvl>
    <w:lvl w:ilvl="1">
      <w:lvlJc w:val="left"/>
      <w:lvlText w:val="(%2)"/>
      <w:numFmt w:val="lowerRoman"/>
      <w:start w:val="2"/>
    </w:lvl>
  </w:abstractNum>
  <w:abstractNum w:abstractNumId="180">
    <w:nsid w:val="44344C22"/>
    <w:multiLevelType w:val="hybridMultilevel"/>
    <w:lvl w:ilvl="0">
      <w:lvlJc w:val="left"/>
      <w:lvlText w:val="%1."/>
      <w:numFmt w:val="decimal"/>
      <w:start w:val="1"/>
    </w:lvl>
  </w:abstractNum>
  <w:abstractNum w:abstractNumId="181">
    <w:nsid w:val="13CDFCFC"/>
    <w:multiLevelType w:val="hybridMultilevel"/>
    <w:lvl w:ilvl="0">
      <w:lvlJc w:val="left"/>
      <w:lvlText w:val="(%1)"/>
      <w:numFmt w:val="decimal"/>
      <w:start w:val="1"/>
    </w:lvl>
  </w:abstractNum>
  <w:abstractNum w:abstractNumId="182">
    <w:nsid w:val="471745E4"/>
    <w:multiLevelType w:val="hybridMultilevel"/>
    <w:lvl w:ilvl="0">
      <w:lvlJc w:val="left"/>
      <w:lvlText w:val="(%1)"/>
      <w:numFmt w:val="decimal"/>
      <w:start w:val="8"/>
    </w:lvl>
    <w:lvl w:ilvl="1">
      <w:lvlJc w:val="left"/>
      <w:lvlText w:val="(%2)"/>
      <w:numFmt w:val="decimal"/>
      <w:start w:val="1"/>
    </w:lvl>
  </w:abstractNum>
  <w:abstractNum w:abstractNumId="183">
    <w:nsid w:val="1DDBC66"/>
    <w:multiLevelType w:val="hybridMultilevel"/>
    <w:lvl w:ilvl="0">
      <w:lvlJc w:val="left"/>
      <w:lvlText w:val="(%1)"/>
      <w:numFmt w:val="decimal"/>
      <w:start w:val="10"/>
    </w:lvl>
  </w:abstractNum>
  <w:abstractNum w:abstractNumId="184">
    <w:nsid w:val="30AADFDA"/>
    <w:multiLevelType w:val="hybridMultilevel"/>
    <w:lvl w:ilvl="0">
      <w:lvlJc w:val="left"/>
      <w:lvlText w:val="(%1)"/>
      <w:numFmt w:val="decimal"/>
      <w:start w:val="16"/>
    </w:lvl>
  </w:abstractNum>
  <w:abstractNum w:abstractNumId="185">
    <w:nsid w:val="30EADA61"/>
    <w:multiLevelType w:val="hybridMultilevel"/>
    <w:lvl w:ilvl="0">
      <w:lvlJc w:val="left"/>
      <w:lvlText w:val="%1."/>
      <w:numFmt w:val="decimal"/>
      <w:start w:val="1"/>
    </w:lvl>
  </w:abstractNum>
  <w:abstractNum w:abstractNumId="186">
    <w:nsid w:val="27179C0B"/>
    <w:multiLevelType w:val="hybridMultilevel"/>
    <w:lvl w:ilvl="0">
      <w:lvlJc w:val="left"/>
      <w:lvlText w:val="%1."/>
      <w:numFmt w:val="decimal"/>
      <w:start w:val="2"/>
    </w:lvl>
  </w:abstractNum>
  <w:abstractNum w:abstractNumId="187">
    <w:nsid w:val="5E636063"/>
    <w:multiLevelType w:val="hybridMultilevel"/>
    <w:lvl w:ilvl="0">
      <w:lvlJc w:val="left"/>
      <w:lvlText w:val="%1."/>
      <w:numFmt w:val="decimal"/>
      <w:start w:val="3"/>
    </w:lvl>
  </w:abstractNum>
  <w:abstractNum w:abstractNumId="188">
    <w:nsid w:val="215641AF"/>
    <w:multiLevelType w:val="hybridMultilevel"/>
    <w:lvl w:ilvl="0">
      <w:lvlJc w:val="left"/>
      <w:lvlText w:val="%1."/>
      <w:numFmt w:val="decimal"/>
      <w:start w:val="4"/>
    </w:lvl>
  </w:abstractNum>
  <w:abstractNum w:abstractNumId="189">
    <w:nsid w:val="53280662"/>
    <w:multiLevelType w:val="hybridMultilevel"/>
    <w:lvl w:ilvl="0">
      <w:lvlJc w:val="left"/>
      <w:lvlText w:val="%1."/>
      <w:numFmt w:val="decimal"/>
      <w:start w:val="5"/>
    </w:lvl>
  </w:abstractNum>
  <w:abstractNum w:abstractNumId="190">
    <w:nsid w:val="46B24DBC"/>
    <w:multiLevelType w:val="hybridMultilevel"/>
    <w:lvl w:ilvl="0">
      <w:lvlJc w:val="left"/>
      <w:lvlText w:val="(%1)"/>
      <w:numFmt w:val="decimal"/>
      <w:start w:val="1"/>
    </w:lvl>
  </w:abstractNum>
  <w:abstractNum w:abstractNumId="191">
    <w:nsid w:val="75B52783"/>
    <w:multiLevelType w:val="hybridMultilevel"/>
    <w:lvl w:ilvl="0">
      <w:lvlJc w:val="left"/>
      <w:lvlText w:val="%1."/>
      <w:numFmt w:val="decimal"/>
      <w:start w:val="6"/>
    </w:lvl>
  </w:abstractNum>
  <w:abstractNum w:abstractNumId="192">
    <w:nsid w:val="57CE66B4"/>
    <w:multiLevelType w:val="hybridMultilevel"/>
    <w:lvl w:ilvl="0">
      <w:lvlJc w:val="left"/>
      <w:lvlText w:val="●"/>
      <w:numFmt w:val="bullet"/>
      <w:start w:val="1"/>
    </w:lvl>
  </w:abstractNum>
  <w:abstractNum w:abstractNumId="193">
    <w:nsid w:val="67A70B69"/>
    <w:multiLevelType w:val="hybridMultilevel"/>
    <w:lvl w:ilvl="0">
      <w:lvlJc w:val="left"/>
      <w:lvlText w:val="%1."/>
      <w:numFmt w:val="decimal"/>
      <w:start w:val="7"/>
    </w:lvl>
  </w:abstractNum>
  <w:abstractNum w:abstractNumId="194">
    <w:nsid w:val="5953172F"/>
    <w:multiLevelType w:val="hybridMultilevel"/>
    <w:lvl w:ilvl="0">
      <w:lvlJc w:val="left"/>
      <w:lvlText w:val="%1."/>
      <w:numFmt w:val="decimal"/>
      <w:start w:val="8"/>
    </w:lvl>
  </w:abstractNum>
  <w:abstractNum w:abstractNumId="195">
    <w:nsid w:val="27EDFE3A"/>
    <w:multiLevelType w:val="hybridMultilevel"/>
    <w:lvl w:ilvl="0">
      <w:lvlJc w:val="left"/>
      <w:lvlText w:val="%1."/>
      <w:numFmt w:val="decimal"/>
      <w:start w:val="9"/>
    </w:lvl>
  </w:abstractNum>
  <w:abstractNum w:abstractNumId="196">
    <w:nsid w:val="52AC7DFF"/>
    <w:multiLevelType w:val="hybridMultilevel"/>
    <w:lvl w:ilvl="0">
      <w:lvlJc w:val="left"/>
      <w:lvlText w:val="%1."/>
      <w:numFmt w:val="decimal"/>
      <w:start w:val="10"/>
    </w:lvl>
  </w:abstractNum>
  <w:abstractNum w:abstractNumId="197">
    <w:nsid w:val="C4C3AF"/>
    <w:multiLevelType w:val="hybridMultilevel"/>
    <w:lvl w:ilvl="0">
      <w:lvlJc w:val="left"/>
      <w:lvlText w:val="%1."/>
      <w:numFmt w:val="decimal"/>
      <w:start w:val="11"/>
    </w:lvl>
  </w:abstractNum>
  <w:abstractNum w:abstractNumId="198">
    <w:nsid w:val="44380727"/>
    <w:multiLevelType w:val="hybridMultilevel"/>
    <w:lvl w:ilvl="0">
      <w:lvlJc w:val="left"/>
      <w:lvlText w:val="%1."/>
      <w:numFmt w:val="decimal"/>
      <w:start w:val="12"/>
    </w:lvl>
  </w:abstractNum>
  <w:abstractNum w:abstractNumId="199">
    <w:nsid w:val="6C053B16"/>
    <w:multiLevelType w:val="hybridMultilevel"/>
    <w:lvl w:ilvl="0">
      <w:lvlJc w:val="left"/>
      <w:lvlText w:val="%1."/>
      <w:numFmt w:val="decimal"/>
      <w:start w:val="13"/>
    </w:lvl>
  </w:abstractNum>
  <w:abstractNum w:abstractNumId="200">
    <w:nsid w:val="4F294393"/>
    <w:multiLevelType w:val="hybridMultilevel"/>
    <w:lvl w:ilvl="0">
      <w:lvlJc w:val="left"/>
      <w:lvlText w:val="%1."/>
      <w:numFmt w:val="decimal"/>
      <w:start w:val="14"/>
    </w:lvl>
  </w:abstractNum>
  <w:abstractNum w:abstractNumId="201">
    <w:nsid w:val="5243BFAC"/>
    <w:multiLevelType w:val="hybridMultilevel"/>
    <w:lvl w:ilvl="0">
      <w:lvlJc w:val="left"/>
      <w:lvlText w:val="%1."/>
      <w:numFmt w:val="decimal"/>
      <w:start w:val="15"/>
    </w:lvl>
  </w:abstractNum>
  <w:abstractNum w:abstractNumId="202">
    <w:nsid w:val="425EB207"/>
    <w:multiLevelType w:val="hybridMultilevel"/>
    <w:lvl w:ilvl="0">
      <w:lvlJc w:val="left"/>
      <w:lvlText w:val="%1."/>
      <w:numFmt w:val="decimal"/>
      <w:start w:val="16"/>
    </w:lvl>
  </w:abstractNum>
  <w:abstractNum w:abstractNumId="203">
    <w:nsid w:val="334A6F1F"/>
    <w:multiLevelType w:val="hybridMultilevel"/>
    <w:lvl w:ilvl="0">
      <w:lvlJc w:val="left"/>
      <w:lvlText w:val="%1."/>
      <w:numFmt w:val="decimal"/>
      <w:start w:val="17"/>
    </w:lvl>
  </w:abstractNum>
  <w:abstractNum w:abstractNumId="204">
    <w:nsid w:val="2E5B12B8"/>
    <w:multiLevelType w:val="hybridMultilevel"/>
    <w:lvl w:ilvl="0">
      <w:lvlJc w:val="left"/>
      <w:lvlText w:val="%1."/>
      <w:numFmt w:val="decimal"/>
      <w:start w:val="18"/>
    </w:lvl>
  </w:abstractNum>
  <w:abstractNum w:abstractNumId="205">
    <w:nsid w:val="5C03D76D"/>
    <w:multiLevelType w:val="hybridMultilevel"/>
    <w:lvl w:ilvl="0">
      <w:lvlJc w:val="left"/>
      <w:lvlText w:val="%1."/>
      <w:numFmt w:val="decimal"/>
      <w:start w:val="19"/>
    </w:lvl>
  </w:abstractNum>
  <w:abstractNum w:abstractNumId="206">
    <w:nsid w:val="66A48D11"/>
    <w:multiLevelType w:val="hybridMultilevel"/>
    <w:lvl w:ilvl="0">
      <w:lvlJc w:val="left"/>
      <w:lvlText w:val="(%1)"/>
      <w:numFmt w:val="lowerRoman"/>
      <w:start w:val="1"/>
    </w:lvl>
    <w:lvl w:ilvl="1">
      <w:lvlJc w:val="left"/>
      <w:lvlText w:val="(%2)"/>
      <w:numFmt w:val="lowerRoman"/>
      <w:start w:val="2"/>
    </w:lvl>
  </w:abstractNum>
  <w:abstractNum w:abstractNumId="207">
    <w:nsid w:val="56C28E34"/>
    <w:multiLevelType w:val="hybridMultilevel"/>
    <w:lvl w:ilvl="0">
      <w:lvlJc w:val="left"/>
      <w:lvlText w:val="%1."/>
      <w:numFmt w:val="decimal"/>
      <w:start w:val="1"/>
    </w:lvl>
  </w:abstractNum>
  <w:abstractNum w:abstractNumId="208">
    <w:nsid w:val="13916F2D"/>
    <w:multiLevelType w:val="hybridMultilevel"/>
    <w:lvl w:ilvl="0">
      <w:lvlJc w:val="left"/>
      <w:lvlText w:val="(%1)"/>
      <w:numFmt w:val="decimal"/>
      <w:start w:val="1"/>
    </w:lvl>
  </w:abstractNum>
  <w:abstractNum w:abstractNumId="209">
    <w:nsid w:val="435D38D"/>
    <w:multiLevelType w:val="hybridMultilevel"/>
    <w:lvl w:ilvl="0">
      <w:lvlJc w:val="left"/>
      <w:lvlText w:val="(%1)"/>
      <w:numFmt w:val="decimal"/>
      <w:start w:val="8"/>
    </w:lvl>
    <w:lvl w:ilvl="1">
      <w:lvlJc w:val="left"/>
      <w:lvlText w:val="(%2)"/>
      <w:numFmt w:val="decimal"/>
      <w:start w:val="1"/>
    </w:lvl>
  </w:abstractNum>
  <w:abstractNum w:abstractNumId="210">
    <w:nsid w:val="822C0EF"/>
    <w:multiLevelType w:val="hybridMultilevel"/>
    <w:lvl w:ilvl="0">
      <w:lvlJc w:val="left"/>
      <w:lvlText w:val="(%1)"/>
      <w:numFmt w:val="decimal"/>
      <w:start w:val="10"/>
    </w:lvl>
  </w:abstractNum>
  <w:abstractNum w:abstractNumId="211">
    <w:nsid w:val="57C5BB4F"/>
    <w:multiLevelType w:val="hybridMultilevel"/>
    <w:lvl w:ilvl="0">
      <w:lvlJc w:val="left"/>
      <w:lvlText w:val="(%1)"/>
      <w:numFmt w:val="decimal"/>
      <w:start w:val="16"/>
    </w:lvl>
  </w:abstractNum>
  <w:abstractNum w:abstractNumId="212">
    <w:nsid w:val="1803D089"/>
    <w:multiLevelType w:val="hybridMultilevel"/>
    <w:lvl w:ilvl="0">
      <w:lvlJc w:val="left"/>
      <w:lvlText w:val="%1."/>
      <w:numFmt w:val="decimal"/>
      <w:start w:val="1"/>
    </w:lvl>
  </w:abstractNum>
  <w:abstractNum w:abstractNumId="213">
    <w:nsid w:val="4F3A06D4"/>
    <w:multiLevelType w:val="hybridMultilevel"/>
    <w:lvl w:ilvl="0">
      <w:lvlJc w:val="left"/>
      <w:lvlText w:val="%1."/>
      <w:numFmt w:val="decimal"/>
      <w:start w:val="2"/>
    </w:lvl>
  </w:abstractNum>
  <w:abstractNum w:abstractNumId="214">
    <w:nsid w:val="59A377B6"/>
    <w:multiLevelType w:val="hybridMultilevel"/>
    <w:lvl w:ilvl="0">
      <w:lvlJc w:val="left"/>
      <w:lvlText w:val="%1."/>
      <w:numFmt w:val="decimal"/>
      <w:start w:val="3"/>
    </w:lvl>
  </w:abstractNum>
  <w:abstractNum w:abstractNumId="215">
    <w:nsid w:val="48AEB063"/>
    <w:multiLevelType w:val="hybridMultilevel"/>
    <w:lvl w:ilvl="0">
      <w:lvlJc w:val="left"/>
      <w:lvlText w:val="%1."/>
      <w:numFmt w:val="decimal"/>
      <w:start w:val="4"/>
    </w:lvl>
  </w:abstractNum>
  <w:abstractNum w:abstractNumId="216">
    <w:nsid w:val="24E135"/>
    <w:multiLevelType w:val="hybridMultilevel"/>
    <w:lvl w:ilvl="0">
      <w:lvlJc w:val="left"/>
      <w:lvlText w:val="%1."/>
      <w:numFmt w:val="decimal"/>
      <w:start w:val="5"/>
    </w:lvl>
  </w:abstractNum>
  <w:abstractNum w:abstractNumId="217">
    <w:nsid w:val="BB13C1"/>
    <w:multiLevelType w:val="hybridMultilevel"/>
    <w:lvl w:ilvl="0">
      <w:lvlJc w:val="left"/>
      <w:lvlText w:val="(%1)"/>
      <w:numFmt w:val="decimal"/>
      <w:start w:val="1"/>
    </w:lvl>
  </w:abstractNum>
  <w:abstractNum w:abstractNumId="218">
    <w:nsid w:val="271210C7"/>
    <w:multiLevelType w:val="hybridMultilevel"/>
    <w:lvl w:ilvl="0">
      <w:lvlJc w:val="left"/>
      <w:lvlText w:val="%1."/>
      <w:numFmt w:val="decimal"/>
      <w:start w:val="6"/>
    </w:lvl>
  </w:abstractNum>
  <w:abstractNum w:abstractNumId="219">
    <w:nsid w:val="217B22E4"/>
    <w:multiLevelType w:val="hybridMultilevel"/>
    <w:lvl w:ilvl="0">
      <w:lvlJc w:val="left"/>
      <w:lvlText w:val="●"/>
      <w:numFmt w:val="bullet"/>
      <w:start w:val="1"/>
    </w:lvl>
  </w:abstractNum>
  <w:abstractNum w:abstractNumId="220">
    <w:nsid w:val="53E31A24"/>
    <w:multiLevelType w:val="hybridMultilevel"/>
    <w:lvl w:ilvl="0">
      <w:lvlJc w:val="left"/>
      <w:lvlText w:val="%1."/>
      <w:numFmt w:val="decimal"/>
      <w:start w:val="7"/>
    </w:lvl>
  </w:abstractNum>
  <w:abstractNum w:abstractNumId="221">
    <w:nsid w:val="6DC45E83"/>
    <w:multiLevelType w:val="hybridMultilevel"/>
    <w:lvl w:ilvl="0">
      <w:lvlJc w:val="left"/>
      <w:lvlText w:val="%1."/>
      <w:numFmt w:val="decimal"/>
      <w:start w:val="8"/>
    </w:lvl>
  </w:abstractNum>
  <w:abstractNum w:abstractNumId="222">
    <w:nsid w:val="17304A67"/>
    <w:multiLevelType w:val="hybridMultilevel"/>
    <w:lvl w:ilvl="0">
      <w:lvlJc w:val="left"/>
      <w:lvlText w:val="%1."/>
      <w:numFmt w:val="decimal"/>
      <w:start w:val="9"/>
    </w:lvl>
  </w:abstractNum>
  <w:abstractNum w:abstractNumId="223">
    <w:nsid w:val="2BB180D8"/>
    <w:multiLevelType w:val="hybridMultilevel"/>
    <w:lvl w:ilvl="0">
      <w:lvlJc w:val="left"/>
      <w:lvlText w:val="%1."/>
      <w:numFmt w:val="decimal"/>
      <w:start w:val="10"/>
    </w:lvl>
  </w:abstractNum>
  <w:abstractNum w:abstractNumId="224">
    <w:nsid w:val="556B69ED"/>
    <w:multiLevelType w:val="hybridMultilevel"/>
    <w:lvl w:ilvl="0">
      <w:lvlJc w:val="left"/>
      <w:lvlText w:val="%1."/>
      <w:numFmt w:val="decimal"/>
      <w:start w:val="11"/>
    </w:lvl>
  </w:abstractNum>
  <w:abstractNum w:abstractNumId="225">
    <w:nsid w:val="70836196"/>
    <w:multiLevelType w:val="hybridMultilevel"/>
    <w:lvl w:ilvl="0">
      <w:lvlJc w:val="left"/>
      <w:lvlText w:val="%1."/>
      <w:numFmt w:val="decimal"/>
      <w:start w:val="12"/>
    </w:lvl>
  </w:abstractNum>
  <w:abstractNum w:abstractNumId="226">
    <w:nsid w:val="539F7F12"/>
    <w:multiLevelType w:val="hybridMultilevel"/>
    <w:lvl w:ilvl="0">
      <w:lvlJc w:val="left"/>
      <w:lvlText w:val="%1."/>
      <w:numFmt w:val="decimal"/>
      <w:start w:val="13"/>
    </w:lvl>
  </w:abstractNum>
  <w:abstractNum w:abstractNumId="227">
    <w:nsid w:val="2817E7EC"/>
    <w:multiLevelType w:val="hybridMultilevel"/>
    <w:lvl w:ilvl="0">
      <w:lvlJc w:val="left"/>
      <w:lvlText w:val="%1."/>
      <w:numFmt w:val="decimal"/>
      <w:start w:val="14"/>
    </w:lvl>
  </w:abstractNum>
  <w:abstractNum w:abstractNumId="228">
    <w:nsid w:val="71482545"/>
    <w:multiLevelType w:val="hybridMultilevel"/>
    <w:lvl w:ilvl="0">
      <w:lvlJc w:val="left"/>
      <w:lvlText w:val="%1."/>
      <w:numFmt w:val="decimal"/>
      <w:start w:val="15"/>
    </w:lvl>
  </w:abstractNum>
  <w:abstractNum w:abstractNumId="229">
    <w:nsid w:val="17D78639"/>
    <w:multiLevelType w:val="hybridMultilevel"/>
    <w:lvl w:ilvl="0">
      <w:lvlJc w:val="left"/>
      <w:lvlText w:val="%1."/>
      <w:numFmt w:val="decimal"/>
      <w:start w:val="16"/>
    </w:lvl>
  </w:abstractNum>
  <w:abstractNum w:abstractNumId="230">
    <w:nsid w:val="141D2302"/>
    <w:multiLevelType w:val="hybridMultilevel"/>
    <w:lvl w:ilvl="0">
      <w:lvlJc w:val="left"/>
      <w:lvlText w:val="%1."/>
      <w:numFmt w:val="decimal"/>
      <w:start w:val="17"/>
    </w:lvl>
  </w:abstractNum>
  <w:abstractNum w:abstractNumId="231">
    <w:nsid w:val="407168D8"/>
    <w:multiLevelType w:val="hybridMultilevel"/>
    <w:lvl w:ilvl="0">
      <w:lvlJc w:val="left"/>
      <w:lvlText w:val="%1."/>
      <w:numFmt w:val="decimal"/>
      <w:start w:val="18"/>
    </w:lvl>
  </w:abstractNum>
  <w:abstractNum w:abstractNumId="232">
    <w:nsid w:val="6A1B45E5"/>
    <w:multiLevelType w:val="hybridMultilevel"/>
    <w:lvl w:ilvl="0">
      <w:lvlJc w:val="left"/>
      <w:lvlText w:val="%1."/>
      <w:numFmt w:val="decimal"/>
      <w:start w:val="19"/>
    </w:lvl>
  </w:abstractNum>
  <w:abstractNum w:abstractNumId="233">
    <w:nsid w:val="567BD50A"/>
    <w:multiLevelType w:val="hybridMultilevel"/>
    <w:lvl w:ilvl="0">
      <w:lvlJc w:val="left"/>
      <w:lvlText w:val="(%1)"/>
      <w:numFmt w:val="lowerRoman"/>
      <w:start w:val="1"/>
    </w:lvl>
    <w:lvl w:ilvl="1">
      <w:lvlJc w:val="left"/>
      <w:lvlText w:val="(%2)"/>
      <w:numFmt w:val="lowerRoman"/>
      <w:start w:val="2"/>
    </w:lvl>
  </w:abstractNum>
  <w:abstractNum w:abstractNumId="234">
    <w:nsid w:val="73BBD7F8"/>
    <w:multiLevelType w:val="hybridMultilevel"/>
    <w:lvl w:ilvl="0">
      <w:lvlJc w:val="left"/>
      <w:lvlText w:val="(%1)"/>
      <w:numFmt w:val="lowerLetter"/>
      <w:start w:val="1"/>
    </w:lvl>
  </w:abstractNum>
  <w:abstractNum w:abstractNumId="235">
    <w:nsid w:val="1876589D"/>
    <w:multiLevelType w:val="hybridMultilevel"/>
    <w:lvl w:ilvl="0">
      <w:lvlJc w:val="left"/>
      <w:lvlText w:val="(%1)"/>
      <w:numFmt w:val="lowerRoman"/>
      <w:start w:val="1"/>
    </w:lvl>
  </w:abstractNum>
  <w:abstractNum w:abstractNumId="236">
    <w:nsid w:val="327FAC77"/>
    <w:multiLevelType w:val="hybridMultilevel"/>
    <w:lvl w:ilvl="0">
      <w:lvlJc w:val="left"/>
      <w:lvlText w:val="(%1)"/>
      <w:numFmt w:val="lowerRoman"/>
      <w:start w:val="3"/>
    </w:lvl>
  </w:abstractNum>
  <w:abstractNum w:abstractNumId="237">
    <w:nsid w:val="5A606509"/>
    <w:multiLevelType w:val="hybridMultilevel"/>
    <w:lvl w:ilvl="0">
      <w:lvlJc w:val="left"/>
      <w:lvlText w:val="(%1)"/>
      <w:numFmt w:val="lowerLetter"/>
      <w:start w:val="3"/>
    </w:lvl>
  </w:abstractNum>
  <w:abstractNum w:abstractNumId="238">
    <w:nsid w:val="6F38E6D1"/>
    <w:multiLevelType w:val="hybridMultilevel"/>
    <w:lvl w:ilvl="0">
      <w:lvlJc w:val="left"/>
      <w:lvlText w:val="(%1)"/>
      <w:numFmt w:val="upperLetter"/>
      <w:start w:val="4"/>
    </w:lvl>
  </w:abstractNum>
  <w:abstractNum w:abstractNumId="239">
    <w:nsid w:val="46111BA5"/>
    <w:multiLevelType w:val="hybridMultilevel"/>
    <w:lvl w:ilvl="0">
      <w:lvlJc w:val="left"/>
      <w:lvlText w:val="(%1)"/>
      <w:numFmt w:val="lowerLetter"/>
      <w:start w:val="1"/>
    </w:lvl>
  </w:abstractNum>
  <w:abstractNum w:abstractNumId="240">
    <w:nsid w:val="5E963896"/>
    <w:multiLevelType w:val="hybridMultilevel"/>
    <w:lvl w:ilvl="0">
      <w:lvlJc w:val="left"/>
      <w:lvlText w:val="(%1)"/>
      <w:numFmt w:val="lowerRoman"/>
      <w:start w:val="1"/>
    </w:lvl>
  </w:abstractNum>
  <w:abstractNum w:abstractNumId="241">
    <w:nsid w:val="775BA7C1"/>
    <w:multiLevelType w:val="hybridMultilevel"/>
    <w:lvl w:ilvl="0">
      <w:lvlJc w:val="left"/>
      <w:lvlText w:val="(%1)"/>
      <w:numFmt w:val="lowerRoman"/>
      <w:start w:val="4"/>
    </w:lvl>
  </w:abstractNum>
  <w:abstractNum w:abstractNumId="242">
    <w:nsid w:val="1DD6D6F4"/>
    <w:multiLevelType w:val="hybridMultilevel"/>
    <w:lvl w:ilvl="0">
      <w:lvlJc w:val="left"/>
      <w:lvlText w:val="(%1)"/>
      <w:numFmt w:val="lowerLetter"/>
      <w:start w:val="1"/>
    </w:lvl>
  </w:abstractNum>
  <w:abstractNum w:abstractNumId="243">
    <w:nsid w:val="769A091F"/>
    <w:multiLevelType w:val="hybridMultilevel"/>
    <w:lvl w:ilvl="0">
      <w:lvlJc w:val="left"/>
      <w:lvlText w:val="(%1)"/>
      <w:numFmt w:val="lowerRoman"/>
      <w:start w:val="1"/>
    </w:lvl>
  </w:abstractNum>
  <w:abstractNum w:abstractNumId="244">
    <w:nsid w:val="4695AE95"/>
    <w:multiLevelType w:val="hybridMultilevel"/>
    <w:lvl w:ilvl="0">
      <w:lvlJc w:val="left"/>
      <w:lvlText w:val="(%1)"/>
      <w:numFmt w:val="lowerLetter"/>
      <w:start w:val="1"/>
    </w:lvl>
  </w:abstractNum>
  <w:abstractNum w:abstractNumId="245">
    <w:nsid w:val="777A4EAA"/>
    <w:multiLevelType w:val="hybridMultilevel"/>
    <w:lvl w:ilvl="0">
      <w:lvlJc w:val="left"/>
      <w:lvlText w:val="(%1)"/>
      <w:numFmt w:val="lowerRoman"/>
      <w:start w:val="1"/>
    </w:lvl>
  </w:abstractNum>
  <w:abstractNum w:abstractNumId="246">
    <w:nsid w:val="3F48B982"/>
    <w:multiLevelType w:val="hybridMultilevel"/>
    <w:lvl w:ilvl="0">
      <w:lvlJc w:val="left"/>
      <w:lvlText w:val="(%1)"/>
      <w:numFmt w:val="lowerRoman"/>
      <w:start w:val="4"/>
    </w:lvl>
  </w:abstractNum>
  <w:abstractNum w:abstractNumId="247">
    <w:nsid w:val="46BA8FCA"/>
    <w:multiLevelType w:val="hybridMultilevel"/>
    <w:lvl w:ilvl="0">
      <w:lvlJc w:val="left"/>
      <w:lvlText w:val="(%1)"/>
      <w:numFmt w:val="lowerLetter"/>
      <w:start w:val="1"/>
    </w:lvl>
  </w:abstractNum>
  <w:abstractNum w:abstractNumId="248">
    <w:nsid w:val="7835626C"/>
    <w:multiLevelType w:val="hybridMultilevel"/>
    <w:lvl w:ilvl="0">
      <w:lvlJc w:val="left"/>
      <w:lvlText w:val="%1."/>
      <w:numFmt w:val="upperLetter"/>
      <w:start w:val="1"/>
    </w:lvl>
  </w:abstractNum>
  <w:abstractNum w:abstractNumId="249">
    <w:nsid w:val="665ACA49"/>
    <w:multiLevelType w:val="hybridMultilevel"/>
    <w:lvl w:ilvl="0">
      <w:lvlJc w:val="left"/>
      <w:lvlText w:val="%1."/>
      <w:numFmt w:val="decimal"/>
      <w:start w:val="1"/>
    </w:lvl>
  </w:abstractNum>
  <w:abstractNum w:abstractNumId="250">
    <w:nsid w:val="6835B2AE"/>
    <w:multiLevelType w:val="hybridMultilevel"/>
    <w:lvl w:ilvl="0">
      <w:lvlJc w:val="left"/>
      <w:lvlText w:val="(%1)"/>
      <w:numFmt w:val="lowerLetter"/>
      <w:start w:val="1"/>
    </w:lvl>
  </w:abstractNum>
  <w:abstractNum w:abstractNumId="251">
    <w:nsid w:val="4C187C90"/>
    <w:multiLevelType w:val="hybridMultilevel"/>
    <w:lvl w:ilvl="0">
      <w:lvlJc w:val="left"/>
      <w:lvlText w:val="(%1)"/>
      <w:numFmt w:val="lowerLetter"/>
      <w:start w:val="2"/>
    </w:lvl>
  </w:abstractNum>
  <w:abstractNum w:abstractNumId="252">
    <w:nsid w:val="541F28CD"/>
    <w:multiLevelType w:val="hybridMultilevel"/>
    <w:lvl w:ilvl="0">
      <w:lvlJc w:val="left"/>
      <w:lvlText w:val="%1"/>
      <w:numFmt w:val="lowerLetter"/>
      <w:start w:val="1"/>
    </w:lvl>
    <w:lvl w:ilvl="1">
      <w:lvlJc w:val="left"/>
      <w:lvlText w:val="%2."/>
      <w:numFmt w:val="decimal"/>
      <w:start w:val="2"/>
    </w:lvl>
  </w:abstractNum>
  <w:abstractNum w:abstractNumId="253">
    <w:nsid w:val="7F65FD16"/>
    <w:multiLevelType w:val="hybridMultilevel"/>
    <w:lvl w:ilvl="0">
      <w:lvlJc w:val="left"/>
      <w:lvlText w:val="(%1)"/>
      <w:numFmt w:val="lowerLetter"/>
      <w:start w:val="1"/>
    </w:lvl>
    <w:lvl w:ilvl="1">
      <w:lvlJc w:val="left"/>
      <w:lvlText w:val="%2."/>
      <w:numFmt w:val="decimal"/>
      <w:start w:val="3"/>
    </w:lvl>
  </w:abstractNum>
  <w:abstractNum w:abstractNumId="254">
    <w:nsid w:val="77C9FD68"/>
    <w:multiLevelType w:val="hybridMultilevel"/>
    <w:lvl w:ilvl="0">
      <w:lvlJc w:val="left"/>
      <w:lvlText w:val="(%1)"/>
      <w:numFmt w:val="lowerLetter"/>
      <w:start w:val="1"/>
    </w:lvl>
    <w:lvl w:ilvl="1">
      <w:lvlJc w:val="left"/>
      <w:lvlText w:val="%2."/>
      <w:numFmt w:val="decimal"/>
      <w:start w:val="4"/>
    </w:lvl>
  </w:abstractNum>
  <w:abstractNum w:abstractNumId="255">
    <w:nsid w:val="298A92BA"/>
    <w:multiLevelType w:val="hybridMultilevel"/>
    <w:lvl w:ilvl="0">
      <w:lvlJc w:val="left"/>
      <w:lvlText w:val="%1."/>
      <w:numFmt w:val="decimal"/>
      <w:start w:val="6"/>
    </w:lvl>
  </w:abstractNum>
  <w:abstractNum w:abstractNumId="256">
    <w:nsid w:val="6FE95EAC"/>
    <w:multiLevelType w:val="hybridMultilevel"/>
    <w:lvl w:ilvl="0">
      <w:lvlJc w:val="left"/>
      <w:lvlText w:val="%1."/>
      <w:numFmt w:val="decimal"/>
      <w:start w:val="8"/>
    </w:lvl>
  </w:abstractNum>
  <w:abstractNum w:abstractNumId="257">
    <w:nsid w:val="4B697C7A"/>
    <w:multiLevelType w:val="hybridMultilevel"/>
    <w:lvl w:ilvl="0">
      <w:lvlJc w:val="left"/>
      <w:lvlText w:val="●"/>
      <w:numFmt w:val="bullet"/>
      <w:start w:val="1"/>
    </w:lvl>
  </w:abstractNum>
  <w:abstractNum w:abstractNumId="258">
    <w:nsid w:val="51A27AA6"/>
    <w:multiLevelType w:val="hybridMultilevel"/>
    <w:lvl w:ilvl="0">
      <w:lvlJc w:val="left"/>
      <w:lvlText w:val="●"/>
      <w:numFmt w:val="bullet"/>
      <w:start w:val="1"/>
    </w:lvl>
  </w:abstractNum>
  <w:abstractNum w:abstractNumId="259">
    <w:nsid w:val="613183F2"/>
    <w:multiLevelType w:val="hybridMultilevel"/>
    <w:lvl w:ilvl="0">
      <w:lvlJc w:val="left"/>
      <w:lvlText w:val="●"/>
      <w:numFmt w:val="bullet"/>
      <w:start w:val="1"/>
    </w:lvl>
  </w:abstractNum>
  <w:abstractNum w:abstractNumId="260">
    <w:nsid w:val="634102B4"/>
    <w:multiLevelType w:val="hybridMultilevel"/>
    <w:lvl w:ilvl="0">
      <w:lvlJc w:val="left"/>
      <w:lvlText w:val="*"/>
      <w:numFmt w:val="bullet"/>
      <w:start w:val="1"/>
    </w:lvl>
  </w:abstractNum>
  <w:abstractNum w:abstractNumId="261">
    <w:nsid w:val="65BF9DA8"/>
    <w:multiLevelType w:val="hybridMultilevel"/>
    <w:lvl w:ilvl="0">
      <w:lvlJc w:val="left"/>
      <w:lvlText w:val="(%1)"/>
      <w:numFmt w:val="decimal"/>
      <w:start w:val="1"/>
    </w:lvl>
  </w:abstractNum>
  <w:abstractNum w:abstractNumId="262">
    <w:nsid w:val="21A2ECCA"/>
    <w:multiLevelType w:val="hybridMultilevel"/>
    <w:lvl w:ilvl="0">
      <w:lvlJc w:val="left"/>
      <w:lvlText w:val="%1."/>
      <w:numFmt w:val="decimal"/>
      <w:start w:val="1"/>
    </w:lvl>
  </w:abstractNum>
  <w:abstractNum w:abstractNumId="263">
    <w:nsid w:val="4D5C4899"/>
    <w:multiLevelType w:val="hybridMultilevel"/>
    <w:lvl w:ilvl="0">
      <w:lvlJc w:val="left"/>
      <w:lvlText w:val="%1."/>
      <w:numFmt w:val="decimal"/>
      <w:start w:val="5"/>
    </w:lvl>
  </w:abstractNum>
  <w:abstractNum w:abstractNumId="264">
    <w:nsid w:val="3C3B72B2"/>
    <w:multiLevelType w:val="hybridMultilevel"/>
    <w:lvl w:ilvl="0">
      <w:lvlJc w:val="left"/>
      <w:lvlText w:val="%1."/>
      <w:numFmt w:val="decimal"/>
      <w:start w:val="1"/>
    </w:lvl>
  </w:abstractNum>
  <w:abstractNum w:abstractNumId="265">
    <w:nsid w:val="155EC4C2"/>
    <w:multiLevelType w:val="hybridMultilevel"/>
    <w:lvl w:ilvl="0">
      <w:lvlJc w:val="left"/>
      <w:lvlText w:val="%1."/>
      <w:numFmt w:val="decimal"/>
      <w:start w:val="5"/>
    </w:lvl>
  </w:abstractNum>
  <w:abstractNum w:abstractNumId="266">
    <w:nsid w:val="65D2A137"/>
    <w:multiLevelType w:val="hybridMultilevel"/>
    <w:lvl w:ilvl="0">
      <w:lvlJc w:val="left"/>
      <w:lvlText w:val="(%1)"/>
      <w:numFmt w:val="decimal"/>
      <w:start w:val="1"/>
    </w:lvl>
  </w:abstractNum>
  <w:abstractNum w:abstractNumId="267">
    <w:nsid w:val="6EBB1F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81"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201" Type="http://schemas.openxmlformats.org/officeDocument/2006/relationships/image" Target="media/image155.png"/><Relationship Id="rId202" Type="http://schemas.openxmlformats.org/officeDocument/2006/relationships/image" Target="media/image156.png"/><Relationship Id="rId203" Type="http://schemas.openxmlformats.org/officeDocument/2006/relationships/image" Target="media/image157.png"/><Relationship Id="rId204" Type="http://schemas.openxmlformats.org/officeDocument/2006/relationships/image" Target="media/image158.png"/><Relationship Id="rId205" Type="http://schemas.openxmlformats.org/officeDocument/2006/relationships/image" Target="media/image159.png"/><Relationship Id="rId206" Type="http://schemas.openxmlformats.org/officeDocument/2006/relationships/image" Target="media/image160.png"/><Relationship Id="rId207" Type="http://schemas.openxmlformats.org/officeDocument/2006/relationships/image" Target="media/image161.png"/><Relationship Id="rId208" Type="http://schemas.openxmlformats.org/officeDocument/2006/relationships/image" Target="media/image162.png"/><Relationship Id="rId209" Type="http://schemas.openxmlformats.org/officeDocument/2006/relationships/image" Target="media/image163.png"/><Relationship Id="rId210" Type="http://schemas.openxmlformats.org/officeDocument/2006/relationships/image" Target="media/image164.png"/><Relationship Id="rId211" Type="http://schemas.openxmlformats.org/officeDocument/2006/relationships/image" Target="media/image165.png"/><Relationship Id="rId212" Type="http://schemas.openxmlformats.org/officeDocument/2006/relationships/image" Target="media/image166.png"/><Relationship Id="rId213" Type="http://schemas.openxmlformats.org/officeDocument/2006/relationships/image" Target="media/image167.png"/><Relationship Id="rId214" Type="http://schemas.openxmlformats.org/officeDocument/2006/relationships/image" Target="media/image168.png"/><Relationship Id="rId215" Type="http://schemas.openxmlformats.org/officeDocument/2006/relationships/image" Target="media/image169.png"/><Relationship Id="rId216"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226" Type="http://schemas.openxmlformats.org/officeDocument/2006/relationships/image" Target="media/image180.png"/><Relationship Id="rId227" Type="http://schemas.openxmlformats.org/officeDocument/2006/relationships/image" Target="media/image181.png"/><Relationship Id="rId228" Type="http://schemas.openxmlformats.org/officeDocument/2006/relationships/image" Target="media/image182.png"/><Relationship Id="rId229" Type="http://schemas.openxmlformats.org/officeDocument/2006/relationships/image" Target="media/image183.png"/><Relationship Id="rId230" Type="http://schemas.openxmlformats.org/officeDocument/2006/relationships/image" Target="media/image184.png"/><Relationship Id="rId231" Type="http://schemas.openxmlformats.org/officeDocument/2006/relationships/image" Target="media/image185.png"/><Relationship Id="rId232" Type="http://schemas.openxmlformats.org/officeDocument/2006/relationships/image" Target="media/image186.png"/><Relationship Id="rId233" Type="http://schemas.openxmlformats.org/officeDocument/2006/relationships/image" Target="media/image187.png"/><Relationship Id="rId234" Type="http://schemas.openxmlformats.org/officeDocument/2006/relationships/image" Target="media/image188.png"/><Relationship Id="rId235" Type="http://schemas.openxmlformats.org/officeDocument/2006/relationships/image" Target="media/image189.png"/><Relationship Id="rId236" Type="http://schemas.openxmlformats.org/officeDocument/2006/relationships/image" Target="media/image190.png"/><Relationship Id="rId237" Type="http://schemas.openxmlformats.org/officeDocument/2006/relationships/image" Target="media/image191.png"/><Relationship Id="rId238" Type="http://schemas.openxmlformats.org/officeDocument/2006/relationships/image" Target="media/image192.png"/><Relationship Id="rId239" Type="http://schemas.openxmlformats.org/officeDocument/2006/relationships/image" Target="media/image193.png"/><Relationship Id="rId240" Type="http://schemas.openxmlformats.org/officeDocument/2006/relationships/image" Target="media/image194.png"/><Relationship Id="rId241" Type="http://schemas.openxmlformats.org/officeDocument/2006/relationships/image" Target="media/image195.png"/><Relationship Id="rId242" Type="http://schemas.openxmlformats.org/officeDocument/2006/relationships/image" Target="media/image196.png"/><Relationship Id="rId243" Type="http://schemas.openxmlformats.org/officeDocument/2006/relationships/image" Target="media/image197.png"/><Relationship Id="rId244" Type="http://schemas.openxmlformats.org/officeDocument/2006/relationships/image" Target="media/image198.png"/><Relationship Id="rId245" Type="http://schemas.openxmlformats.org/officeDocument/2006/relationships/image" Target="media/image199.png"/><Relationship Id="rId246" Type="http://schemas.openxmlformats.org/officeDocument/2006/relationships/image" Target="media/image200.png"/><Relationship Id="rId247" Type="http://schemas.openxmlformats.org/officeDocument/2006/relationships/image" Target="media/image201.png"/><Relationship Id="rId248" Type="http://schemas.openxmlformats.org/officeDocument/2006/relationships/image" Target="media/image202.png"/><Relationship Id="rId249" Type="http://schemas.openxmlformats.org/officeDocument/2006/relationships/image" Target="media/image203.png"/><Relationship Id="rId250" Type="http://schemas.openxmlformats.org/officeDocument/2006/relationships/image" Target="media/image204.png"/><Relationship Id="rId251" Type="http://schemas.openxmlformats.org/officeDocument/2006/relationships/image" Target="media/image205.png"/><Relationship Id="rId252" Type="http://schemas.openxmlformats.org/officeDocument/2006/relationships/image" Target="media/image206.png"/><Relationship Id="rId253" Type="http://schemas.openxmlformats.org/officeDocument/2006/relationships/image" Target="media/image207.png"/><Relationship Id="rId254" Type="http://schemas.openxmlformats.org/officeDocument/2006/relationships/image" Target="media/image208.png"/><Relationship Id="rId255" Type="http://schemas.openxmlformats.org/officeDocument/2006/relationships/image" Target="media/image209.png"/><Relationship Id="rId256" Type="http://schemas.openxmlformats.org/officeDocument/2006/relationships/image" Target="media/image210.png"/><Relationship Id="rId257" Type="http://schemas.openxmlformats.org/officeDocument/2006/relationships/image" Target="media/image211.png"/><Relationship Id="rId258" Type="http://schemas.openxmlformats.org/officeDocument/2006/relationships/image" Target="media/image212.png"/><Relationship Id="rId259" Type="http://schemas.openxmlformats.org/officeDocument/2006/relationships/image" Target="media/image213.png"/><Relationship Id="rId260" Type="http://schemas.openxmlformats.org/officeDocument/2006/relationships/image" Target="media/image214.png"/><Relationship Id="rId261" Type="http://schemas.openxmlformats.org/officeDocument/2006/relationships/image" Target="media/image215.png"/><Relationship Id="rId262" Type="http://schemas.openxmlformats.org/officeDocument/2006/relationships/image" Target="media/image216.png"/><Relationship Id="rId263" Type="http://schemas.openxmlformats.org/officeDocument/2006/relationships/image" Target="media/image217.png"/><Relationship Id="rId264" Type="http://schemas.openxmlformats.org/officeDocument/2006/relationships/image" Target="media/image218.png"/><Relationship Id="rId265" Type="http://schemas.openxmlformats.org/officeDocument/2006/relationships/image" Target="media/image219.png"/><Relationship Id="rId266" Type="http://schemas.openxmlformats.org/officeDocument/2006/relationships/image" Target="media/image220.png"/><Relationship Id="rId267" Type="http://schemas.openxmlformats.org/officeDocument/2006/relationships/image" Target="media/image221.png"/><Relationship Id="rId268" Type="http://schemas.openxmlformats.org/officeDocument/2006/relationships/image" Target="media/image222.png"/><Relationship Id="rId269" Type="http://schemas.openxmlformats.org/officeDocument/2006/relationships/image" Target="media/image223.png"/><Relationship Id="rId270" Type="http://schemas.openxmlformats.org/officeDocument/2006/relationships/image" Target="media/image224.png"/><Relationship Id="rId271" Type="http://schemas.openxmlformats.org/officeDocument/2006/relationships/image" Target="media/image225.png"/><Relationship Id="rId272" Type="http://schemas.openxmlformats.org/officeDocument/2006/relationships/image" Target="media/image226.png"/><Relationship Id="rId273" Type="http://schemas.openxmlformats.org/officeDocument/2006/relationships/image" Target="media/image227.png"/><Relationship Id="rId274" Type="http://schemas.openxmlformats.org/officeDocument/2006/relationships/image" Target="media/image228.png"/><Relationship Id="rId275" Type="http://schemas.openxmlformats.org/officeDocument/2006/relationships/image" Target="media/image229.png"/><Relationship Id="rId276" Type="http://schemas.openxmlformats.org/officeDocument/2006/relationships/image" Target="media/image230.png"/><Relationship Id="rId277" Type="http://schemas.openxmlformats.org/officeDocument/2006/relationships/image" Target="media/image231.png"/><Relationship Id="rId278" Type="http://schemas.openxmlformats.org/officeDocument/2006/relationships/image" Target="media/image232.png"/><Relationship Id="rId279" Type="http://schemas.openxmlformats.org/officeDocument/2006/relationships/image" Target="media/image233.png"/><Relationship Id="rId280" Type="http://schemas.openxmlformats.org/officeDocument/2006/relationships/image" Target="media/image234.png"/><Relationship Id="rId281" Type="http://schemas.openxmlformats.org/officeDocument/2006/relationships/image" Target="media/image235.png"/><Relationship Id="rId282" Type="http://schemas.openxmlformats.org/officeDocument/2006/relationships/image" Target="media/image236.png"/><Relationship Id="rId283" Type="http://schemas.openxmlformats.org/officeDocument/2006/relationships/image" Target="media/image237.png"/><Relationship Id="rId284" Type="http://schemas.openxmlformats.org/officeDocument/2006/relationships/image" Target="media/image238.png"/><Relationship Id="rId285" Type="http://schemas.openxmlformats.org/officeDocument/2006/relationships/image" Target="media/image239.png"/><Relationship Id="rId286" Type="http://schemas.openxmlformats.org/officeDocument/2006/relationships/image" Target="media/image240.png"/><Relationship Id="rId287" Type="http://schemas.openxmlformats.org/officeDocument/2006/relationships/image" Target="media/image241.png"/><Relationship Id="rId288" Type="http://schemas.openxmlformats.org/officeDocument/2006/relationships/image" Target="media/image242.png"/><Relationship Id="rId289" Type="http://schemas.openxmlformats.org/officeDocument/2006/relationships/image" Target="media/image243.png"/><Relationship Id="rId290" Type="http://schemas.openxmlformats.org/officeDocument/2006/relationships/image" Target="media/image244.png"/><Relationship Id="rId291" Type="http://schemas.openxmlformats.org/officeDocument/2006/relationships/image" Target="media/image245.png"/><Relationship Id="rId292" Type="http://schemas.openxmlformats.org/officeDocument/2006/relationships/image" Target="media/image246.png"/><Relationship Id="rId293" Type="http://schemas.openxmlformats.org/officeDocument/2006/relationships/image" Target="media/image247.png"/><Relationship Id="rId294" Type="http://schemas.openxmlformats.org/officeDocument/2006/relationships/image" Target="media/image248.png"/><Relationship Id="rId295" Type="http://schemas.openxmlformats.org/officeDocument/2006/relationships/image" Target="media/image249.png"/><Relationship Id="rId296" Type="http://schemas.openxmlformats.org/officeDocument/2006/relationships/image" Target="media/image250.png"/><Relationship Id="rId297" Type="http://schemas.openxmlformats.org/officeDocument/2006/relationships/image" Target="media/image251.png"/><Relationship Id="rId298" Type="http://schemas.openxmlformats.org/officeDocument/2006/relationships/image" Target="media/image252.png"/><Relationship Id="rId299" Type="http://schemas.openxmlformats.org/officeDocument/2006/relationships/image" Target="media/image253.png"/><Relationship Id="rId300" Type="http://schemas.openxmlformats.org/officeDocument/2006/relationships/image" Target="media/image254.png"/><Relationship Id="rId301" Type="http://schemas.openxmlformats.org/officeDocument/2006/relationships/image" Target="media/image255.png"/><Relationship Id="rId302" Type="http://schemas.openxmlformats.org/officeDocument/2006/relationships/image" Target="media/image256.png"/><Relationship Id="rId303" Type="http://schemas.openxmlformats.org/officeDocument/2006/relationships/image" Target="media/image257.png"/><Relationship Id="rId304" Type="http://schemas.openxmlformats.org/officeDocument/2006/relationships/image" Target="media/image258.png"/><Relationship Id="rId305" Type="http://schemas.openxmlformats.org/officeDocument/2006/relationships/image" Target="media/image259.png"/><Relationship Id="rId306" Type="http://schemas.openxmlformats.org/officeDocument/2006/relationships/image" Target="media/image260.png"/><Relationship Id="rId307" Type="http://schemas.openxmlformats.org/officeDocument/2006/relationships/image" Target="media/image261.png"/><Relationship Id="rId308" Type="http://schemas.openxmlformats.org/officeDocument/2006/relationships/image" Target="media/image262.png"/><Relationship Id="rId309" Type="http://schemas.openxmlformats.org/officeDocument/2006/relationships/image" Target="media/image263.png"/><Relationship Id="rId310" Type="http://schemas.openxmlformats.org/officeDocument/2006/relationships/image" Target="media/image264.png"/><Relationship Id="rId311" Type="http://schemas.openxmlformats.org/officeDocument/2006/relationships/image" Target="media/image265.png"/><Relationship Id="rId312" Type="http://schemas.openxmlformats.org/officeDocument/2006/relationships/image" Target="media/image266.png"/><Relationship Id="rId313" Type="http://schemas.openxmlformats.org/officeDocument/2006/relationships/image" Target="media/image267.png"/><Relationship Id="rId314" Type="http://schemas.openxmlformats.org/officeDocument/2006/relationships/image" Target="media/image268.png"/><Relationship Id="rId315" Type="http://schemas.openxmlformats.org/officeDocument/2006/relationships/image" Target="media/image269.png"/><Relationship Id="rId316" Type="http://schemas.openxmlformats.org/officeDocument/2006/relationships/image" Target="media/image270.png"/><Relationship Id="rId317" Type="http://schemas.openxmlformats.org/officeDocument/2006/relationships/image" Target="media/image271.png"/><Relationship Id="rId318" Type="http://schemas.openxmlformats.org/officeDocument/2006/relationships/image" Target="media/image272.png"/><Relationship Id="rId319" Type="http://schemas.openxmlformats.org/officeDocument/2006/relationships/image" Target="media/image273.png"/><Relationship Id="rId320" Type="http://schemas.openxmlformats.org/officeDocument/2006/relationships/image" Target="media/image274.png"/><Relationship Id="rId321" Type="http://schemas.openxmlformats.org/officeDocument/2006/relationships/image" Target="media/image275.png"/><Relationship Id="rId322" Type="http://schemas.openxmlformats.org/officeDocument/2006/relationships/image" Target="media/image276.png"/><Relationship Id="rId323" Type="http://schemas.openxmlformats.org/officeDocument/2006/relationships/image" Target="media/image277.png"/><Relationship Id="rId324" Type="http://schemas.openxmlformats.org/officeDocument/2006/relationships/image" Target="media/image278.png"/><Relationship Id="rId325" Type="http://schemas.openxmlformats.org/officeDocument/2006/relationships/image" Target="media/image279.png"/><Relationship Id="rId326" Type="http://schemas.openxmlformats.org/officeDocument/2006/relationships/image" Target="media/image280.png"/><Relationship Id="rId327" Type="http://schemas.openxmlformats.org/officeDocument/2006/relationships/image" Target="media/image281.png"/><Relationship Id="rId328" Type="http://schemas.openxmlformats.org/officeDocument/2006/relationships/image" Target="media/image282.png"/><Relationship Id="rId329" Type="http://schemas.openxmlformats.org/officeDocument/2006/relationships/image" Target="media/image283.png"/><Relationship Id="rId330" Type="http://schemas.openxmlformats.org/officeDocument/2006/relationships/image" Target="media/image284.png"/><Relationship Id="rId331" Type="http://schemas.openxmlformats.org/officeDocument/2006/relationships/image" Target="media/image285.png"/><Relationship Id="rId332" Type="http://schemas.openxmlformats.org/officeDocument/2006/relationships/image" Target="media/image286.png"/><Relationship Id="rId333" Type="http://schemas.openxmlformats.org/officeDocument/2006/relationships/image" Target="media/image287.png"/><Relationship Id="rId334" Type="http://schemas.openxmlformats.org/officeDocument/2006/relationships/image" Target="media/image288.png"/><Relationship Id="rId335" Type="http://schemas.openxmlformats.org/officeDocument/2006/relationships/image" Target="media/image289.png"/><Relationship Id="rId336" Type="http://schemas.openxmlformats.org/officeDocument/2006/relationships/image" Target="media/image290.png"/><Relationship Id="rId337" Type="http://schemas.openxmlformats.org/officeDocument/2006/relationships/image" Target="media/image291.png"/><Relationship Id="rId338" Type="http://schemas.openxmlformats.org/officeDocument/2006/relationships/image" Target="media/image292.png"/><Relationship Id="rId339" Type="http://schemas.openxmlformats.org/officeDocument/2006/relationships/image" Target="media/image293.png"/><Relationship Id="rId340" Type="http://schemas.openxmlformats.org/officeDocument/2006/relationships/image" Target="media/image294.png"/><Relationship Id="rId341" Type="http://schemas.openxmlformats.org/officeDocument/2006/relationships/image" Target="media/image295.png"/><Relationship Id="rId342" Type="http://schemas.openxmlformats.org/officeDocument/2006/relationships/image" Target="media/image296.png"/><Relationship Id="rId343" Type="http://schemas.openxmlformats.org/officeDocument/2006/relationships/image" Target="media/image297.png"/><Relationship Id="rId344" Type="http://schemas.openxmlformats.org/officeDocument/2006/relationships/image" Target="media/image298.png"/><Relationship Id="rId345" Type="http://schemas.openxmlformats.org/officeDocument/2006/relationships/image" Target="media/image299.png"/><Relationship Id="rId346" Type="http://schemas.openxmlformats.org/officeDocument/2006/relationships/image" Target="media/image300.png"/><Relationship Id="rId347" Type="http://schemas.openxmlformats.org/officeDocument/2006/relationships/image" Target="media/image301.png"/><Relationship Id="rId348" Type="http://schemas.openxmlformats.org/officeDocument/2006/relationships/image" Target="media/image302.png"/><Relationship Id="rId349" Type="http://schemas.openxmlformats.org/officeDocument/2006/relationships/image" Target="media/image303.png"/><Relationship Id="rId350" Type="http://schemas.openxmlformats.org/officeDocument/2006/relationships/image" Target="media/image304.png"/><Relationship Id="rId351" Type="http://schemas.openxmlformats.org/officeDocument/2006/relationships/image" Target="media/image305.png"/><Relationship Id="rId352" Type="http://schemas.openxmlformats.org/officeDocument/2006/relationships/image" Target="media/image306.png"/><Relationship Id="rId353" Type="http://schemas.openxmlformats.org/officeDocument/2006/relationships/image" Target="media/image307.png"/><Relationship Id="rId354" Type="http://schemas.openxmlformats.org/officeDocument/2006/relationships/image" Target="media/image308.png"/><Relationship Id="rId355" Type="http://schemas.openxmlformats.org/officeDocument/2006/relationships/image" Target="media/image309.png"/><Relationship Id="rId356" Type="http://schemas.openxmlformats.org/officeDocument/2006/relationships/image" Target="media/image310.png"/><Relationship Id="rId357" Type="http://schemas.openxmlformats.org/officeDocument/2006/relationships/image" Target="media/image311.png"/><Relationship Id="rId358" Type="http://schemas.openxmlformats.org/officeDocument/2006/relationships/image" Target="media/image312.png"/><Relationship Id="rId359" Type="http://schemas.openxmlformats.org/officeDocument/2006/relationships/image" Target="media/image313.png"/><Relationship Id="rId360" Type="http://schemas.openxmlformats.org/officeDocument/2006/relationships/image" Target="media/image314.png"/><Relationship Id="rId361" Type="http://schemas.openxmlformats.org/officeDocument/2006/relationships/image" Target="media/image315.png"/><Relationship Id="rId362" Type="http://schemas.openxmlformats.org/officeDocument/2006/relationships/image" Target="media/image316.png"/><Relationship Id="rId363" Type="http://schemas.openxmlformats.org/officeDocument/2006/relationships/image" Target="media/image317.png"/><Relationship Id="rId364" Type="http://schemas.openxmlformats.org/officeDocument/2006/relationships/image" Target="media/image318.png"/><Relationship Id="rId365" Type="http://schemas.openxmlformats.org/officeDocument/2006/relationships/image" Target="media/image319.png"/><Relationship Id="rId366" Type="http://schemas.openxmlformats.org/officeDocument/2006/relationships/image" Target="media/image320.png"/><Relationship Id="rId367" Type="http://schemas.openxmlformats.org/officeDocument/2006/relationships/image" Target="media/image321.jpeg"/><Relationship Id="rId368" Type="http://schemas.openxmlformats.org/officeDocument/2006/relationships/image" Target="media/image322.png"/><Relationship Id="rId369" Type="http://schemas.openxmlformats.org/officeDocument/2006/relationships/image" Target="media/image323.png"/><Relationship Id="rId370" Type="http://schemas.openxmlformats.org/officeDocument/2006/relationships/image" Target="media/image324.png"/><Relationship Id="rId371" Type="http://schemas.openxmlformats.org/officeDocument/2006/relationships/image" Target="media/image325.png"/><Relationship Id="rId372" Type="http://schemas.openxmlformats.org/officeDocument/2006/relationships/image" Target="media/image326.png"/><Relationship Id="rId373" Type="http://schemas.openxmlformats.org/officeDocument/2006/relationships/image" Target="media/image327.png"/><Relationship Id="rId374" Type="http://schemas.openxmlformats.org/officeDocument/2006/relationships/image" Target="media/image328.png"/><Relationship Id="rId375" Type="http://schemas.openxmlformats.org/officeDocument/2006/relationships/image" Target="media/image329.png"/><Relationship Id="rId376" Type="http://schemas.openxmlformats.org/officeDocument/2006/relationships/image" Target="media/image330.png"/><Relationship Id="rId377" Type="http://schemas.openxmlformats.org/officeDocument/2006/relationships/image" Target="media/image331.png"/><Relationship Id="rId378" Type="http://schemas.openxmlformats.org/officeDocument/2006/relationships/image" Target="media/image332.png"/><Relationship Id="rId379" Type="http://schemas.openxmlformats.org/officeDocument/2006/relationships/image" Target="media/image333.png"/><Relationship Id="rId380" Type="http://schemas.openxmlformats.org/officeDocument/2006/relationships/image" Target="media/image334.png"/><Relationship Id="rId381" Type="http://schemas.openxmlformats.org/officeDocument/2006/relationships/image" Target="media/image335.png"/><Relationship Id="rId382" Type="http://schemas.openxmlformats.org/officeDocument/2006/relationships/image" Target="media/image336.png"/><Relationship Id="rId383" Type="http://schemas.openxmlformats.org/officeDocument/2006/relationships/image" Target="media/image337.png"/><Relationship Id="rId384" Type="http://schemas.openxmlformats.org/officeDocument/2006/relationships/image" Target="media/image338.png"/><Relationship Id="rId385" Type="http://schemas.openxmlformats.org/officeDocument/2006/relationships/image" Target="media/image339.png"/><Relationship Id="rId153" Type="http://schemas.openxmlformats.org/officeDocument/2006/relationships/hyperlink" Target="https://www.sec.gov/Archives/edgar/data/823768/000110465924063047/tm2412128d3_ex3-2.htm" TargetMode="External"/><Relationship Id="rId154" Type="http://schemas.openxmlformats.org/officeDocument/2006/relationships/hyperlink" Target="https://www.sec.gov/Archives/edgar/data/823768/000110465923115047/tm2329883d1_ex3-2.htm" TargetMode="External"/><Relationship Id="rId155" Type="http://schemas.openxmlformats.org/officeDocument/2006/relationships/hyperlink" Target="http://www.sec.gov/Archives/edgar/data/823768/0000950129-99-001268.txt" TargetMode="External"/><Relationship Id="rId156" Type="http://schemas.openxmlformats.org/officeDocument/2006/relationships/hyperlink" Target="http://www.sec.gov/Archives/edgar/data/823768/000095012315002550/d793975dex42.htm" TargetMode="External"/><Relationship Id="rId157" Type="http://schemas.openxmlformats.org/officeDocument/2006/relationships/hyperlink" Target="http://www.sec.gov/Archives/edgar/data/823768/000119312514283972/d740524dex43.htm" TargetMode="External"/><Relationship Id="rId158" Type="http://schemas.openxmlformats.org/officeDocument/2006/relationships/hyperlink" Target="http://www.sec.gov/Archives/edgar/data/823768/0000950129-97-000380.txt" TargetMode="External"/><Relationship Id="rId159" Type="http://schemas.openxmlformats.org/officeDocument/2006/relationships/hyperlink" Target="http://www.sec.gov/Archives/edgar/data/823768/0000950129-97-003909.txt" TargetMode="External"/><Relationship Id="rId160" Type="http://schemas.openxmlformats.org/officeDocument/2006/relationships/hyperlink" Target="https://www.sec.gov/Archives/edgar/data/823768/000110465924115866/tm2427884d1_ex4-5.htm" TargetMode="External"/><Relationship Id="rId161" Type="http://schemas.openxmlformats.org/officeDocument/2006/relationships/hyperlink" Target="https://www.sec.gov/Archives/edgar/data/823768/000110465924115866/tm2427884d1_ex4-2.htm" TargetMode="External"/><Relationship Id="rId162" Type="http://schemas.openxmlformats.org/officeDocument/2006/relationships/hyperlink" Target="https://www.sec.gov/Archives/edgar/data/823768/000110465924115866/tm2427884d1_ex4-4.htm" TargetMode="External"/><Relationship Id="rId163" Type="http://schemas.openxmlformats.org/officeDocument/2006/relationships/hyperlink" Target="https://www.sec.gov/Archives/edgar/data/823768/000110465923058503/tm2315236d1_ex10-1.htm" TargetMode="External"/><Relationship Id="rId164" Type="http://schemas.openxmlformats.org/officeDocument/2006/relationships/hyperlink" Target="http://www.sec.gov/Archives/edgar/data/823768/000119312514200494/d726417dex101.htm" TargetMode="External"/><Relationship Id="rId165" Type="http://schemas.openxmlformats.org/officeDocument/2006/relationships/hyperlink" Target="https://www.sec.gov/Archives/edgar/data/823768/000110465920062449/tm2018602d2_ex10-2.htm" TargetMode="External"/><Relationship Id="rId166" Type="http://schemas.openxmlformats.org/officeDocument/2006/relationships/hyperlink" Target="https://www.sec.gov/Archives/edgar/data/823768/000155837022011119/wm-20220630xex10d3.htm" TargetMode="External"/><Relationship Id="rId167" Type="http://schemas.openxmlformats.org/officeDocument/2006/relationships/hyperlink" Target="https://www.sec.gov/Archives/edgar/data/823768/000119312504059008/ddef14a.htm" TargetMode="External"/><Relationship Id="rId168" Type="http://schemas.openxmlformats.org/officeDocument/2006/relationships/hyperlink" Target="https://www.sec.gov/Archives/edgar/data/823768/000110465920062449/tm2018602d2_ex10-1.htm" TargetMode="External"/><Relationship Id="rId169" Type="http://schemas.openxmlformats.org/officeDocument/2006/relationships/hyperlink" Target="https://www.sec.gov/Archives/edgar/data/823768/000155837024001049/wm-20231231xex10d8.htm" TargetMode="External"/><Relationship Id="rId170" Type="http://schemas.openxmlformats.org/officeDocument/2006/relationships/hyperlink" Target="http://www.sec.gov/Archives/edgar/data/823768/000119312514156430/d690567dex102.htm" TargetMode="External"/><Relationship Id="rId171" Type="http://schemas.openxmlformats.org/officeDocument/2006/relationships/hyperlink" Target="https://www.sec.gov/Archives/edgar/data/823768/000110465924059949/tm2412128d2_ex10-1.htm" TargetMode="External"/><Relationship Id="rId172" Type="http://schemas.openxmlformats.org/officeDocument/2006/relationships/hyperlink" Target="https://www.sec.gov/Archives/edgar/data/823768/000119312517046480/d252547dex1011.htm" TargetMode="External"/><Relationship Id="rId173" Type="http://schemas.openxmlformats.org/officeDocument/2006/relationships/hyperlink" Target="https://www.sec.gov/Archives/edgar/data/823768/000155837023000964/wm-20221231xex10d11.htm" TargetMode="External"/><Relationship Id="rId174" Type="http://schemas.openxmlformats.org/officeDocument/2006/relationships/hyperlink" Target="http://www.sec.gov/Archives/edgar/data/823768/000110465917075030/a17-28786_1ex10d2.htm" TargetMode="External"/><Relationship Id="rId175" Type="http://schemas.openxmlformats.org/officeDocument/2006/relationships/hyperlink" Target="https://www.sec.gov/Archives/edgar/data/823768/000155837024001049/wm-20231231xex10d14.htm" TargetMode="External"/><Relationship Id="rId176" Type="http://schemas.openxmlformats.org/officeDocument/2006/relationships/hyperlink" Target="https://www.sec.gov/Archives/edgar/data/823768/000155837024001049/wm-20231231xex10d15.htm" TargetMode="External"/><Relationship Id="rId177" Type="http://schemas.openxmlformats.org/officeDocument/2006/relationships/hyperlink" Target="http://www.sec.gov/Archives/edgar/data/823768/000110465917075030/a17-28786_1ex10d3.htm" TargetMode="External"/><Relationship Id="rId178" Type="http://schemas.openxmlformats.org/officeDocument/2006/relationships/hyperlink" Target="http://www.sec.gov/Archives/edgar/data/823768/000110465917075030/a17-28786_1ex10d4.htm" TargetMode="External"/><Relationship Id="rId179" Type="http://schemas.openxmlformats.org/officeDocument/2006/relationships/hyperlink" Target="http://www.sec.gov/Archives/edgar/data/823768/000155837018000716/wm-20171231ex10236fa05.htm" TargetMode="External"/><Relationship Id="rId180" Type="http://schemas.openxmlformats.org/officeDocument/2006/relationships/hyperlink" Target="http://www.sec.gov/Archives/edgar/data/823768/000119312513058892/d413187dex1043.htm" TargetMode="External"/><Relationship Id="rId182" Type="http://schemas.openxmlformats.org/officeDocument/2006/relationships/hyperlink" Target="http://www.sec.gov/Archives/edgar/data/823768/000110465917075030/a17-28786_1ex10d1.htm" TargetMode="External"/><Relationship Id="rId183" Type="http://schemas.openxmlformats.org/officeDocument/2006/relationships/hyperlink" Target="https://www.sec.gov/Archives/edgar/data/0000823768/000110465921029723/tm216945d2_ex10-1.htm" TargetMode="External"/><Relationship Id="rId184" Type="http://schemas.openxmlformats.org/officeDocument/2006/relationships/hyperlink" Target="https://www.sec.gov/Archives/edgar/data/823768/000155837022001179/wm-20211231xex10d19.htm" TargetMode="External"/><Relationship Id="rId185" Type="http://schemas.openxmlformats.org/officeDocument/2006/relationships/hyperlink" Target="https://www.sec.gov/Archives/edgar/data/823768/000110465922030973/tm228341d1_ex10-1.htm" TargetMode="External"/><Relationship Id="rId186" Type="http://schemas.openxmlformats.org/officeDocument/2006/relationships/hyperlink" Target="https://www.sec.gov/Archives/edgar/data/823768/000110465922030973/tm228341d1_ex10-2.htm" TargetMode="External"/><Relationship Id="rId187" Type="http://schemas.openxmlformats.org/officeDocument/2006/relationships/hyperlink" Target="https://www.sec.gov/Archives/edgar/data/823768/000110465923030666/tm238966d1_ex10-1.htm" TargetMode="External"/><Relationship Id="rId188" Type="http://schemas.openxmlformats.org/officeDocument/2006/relationships/hyperlink" Target="https://www.sec.gov/Archives/edgar/data/823768/000110465924031504/tm247937d1_ex10-1.htm" TargetMode="External"/><Relationship Id="rId189" Type="http://schemas.openxmlformats.org/officeDocument/2006/relationships/hyperlink" Target="https://www.sec.gov/Archives/edgar/data/823768/000110465924031504/tm247937d1_ex10-2.htm" TargetMode="External"/><Relationship Id="rId190" Type="http://schemas.openxmlformats.org/officeDocument/2006/relationships/hyperlink" Target="https://www.sec.gov/Archives/edgar/data/823768/000155837024005734/wm-20240331xex10d3.htm" TargetMode="External"/><Relationship Id="rId191" Type="http://schemas.openxmlformats.org/officeDocument/2006/relationships/hyperlink" Target="https://www.sec.gov/Archives/edgar/data/823768/000155837024013762/wm-20240930xex10d2.htm" TargetMode="External"/><Relationship Id="rId192" Type="http://schemas.openxmlformats.org/officeDocument/2006/relationships/hyperlink" Target="https://www.sec.gov/Archives/edgar/data/823768/000155837024001049/wm-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2025-02-19T12:36:57Z</dcterms:created>
  <dcterms:modified xsi:type="dcterms:W3CDTF">2025-02-19T12:36:57Z</dcterms:modified>
</cp:coreProperties>
</file>